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FF69" w14:textId="77777777" w:rsidR="00F71658" w:rsidRDefault="00F71658" w:rsidP="007B6B88">
      <w:pPr>
        <w:suppressAutoHyphens/>
        <w:jc w:val="center"/>
        <w:rPr>
          <w:rFonts w:ascii="Arial" w:hAnsi="Arial"/>
        </w:rPr>
      </w:pPr>
    </w:p>
    <w:p w14:paraId="09C126EE" w14:textId="77777777" w:rsidR="00F71658" w:rsidRDefault="00F71658" w:rsidP="007B6B88">
      <w:pPr>
        <w:suppressAutoHyphens/>
        <w:jc w:val="center"/>
        <w:rPr>
          <w:rFonts w:ascii="Arial" w:hAnsi="Arial"/>
        </w:rPr>
      </w:pPr>
    </w:p>
    <w:p w14:paraId="51FF2C63" w14:textId="77777777" w:rsidR="00F71658" w:rsidRDefault="007B6B88" w:rsidP="007B6B88">
      <w:pPr>
        <w:suppressAutoHyphens/>
        <w:jc w:val="center"/>
        <w:rPr>
          <w:rFonts w:ascii="Arial" w:hAnsi="Arial" w:cs="Arial"/>
          <w:b/>
          <w:sz w:val="24"/>
        </w:rPr>
      </w:pPr>
      <w:r w:rsidRPr="002070CA">
        <w:rPr>
          <w:rFonts w:ascii="Arial" w:hAnsi="Arial" w:cs="Arial"/>
          <w:b/>
          <w:sz w:val="24"/>
        </w:rPr>
        <w:t xml:space="preserve">DTV-Güterversicherungsbedingungen </w:t>
      </w:r>
      <w:r w:rsidR="00D805D6">
        <w:rPr>
          <w:rFonts w:ascii="Arial" w:hAnsi="Arial" w:cs="Arial"/>
          <w:b/>
          <w:sz w:val="24"/>
        </w:rPr>
        <w:t>2000/2011</w:t>
      </w:r>
    </w:p>
    <w:p w14:paraId="4556A715" w14:textId="77777777" w:rsidR="00F71658" w:rsidRPr="00F71658" w:rsidRDefault="00F71658" w:rsidP="007B6B88">
      <w:pPr>
        <w:suppressAutoHyphens/>
        <w:jc w:val="center"/>
        <w:rPr>
          <w:rFonts w:ascii="Arial" w:hAnsi="Arial" w:cs="Arial"/>
        </w:rPr>
      </w:pPr>
    </w:p>
    <w:p w14:paraId="2854B7A8" w14:textId="77777777" w:rsidR="00F71658" w:rsidRDefault="001F0E19" w:rsidP="007B6B88">
      <w:pPr>
        <w:suppressAutoHyphens/>
        <w:jc w:val="center"/>
        <w:rPr>
          <w:rFonts w:ascii="Arial" w:hAnsi="Arial"/>
          <w:b/>
          <w:sz w:val="24"/>
        </w:rPr>
      </w:pPr>
      <w:r w:rsidRPr="00375623">
        <w:rPr>
          <w:rFonts w:ascii="Arial" w:hAnsi="Arial"/>
          <w:b/>
          <w:sz w:val="24"/>
        </w:rPr>
        <w:t xml:space="preserve">(DTV-Güter </w:t>
      </w:r>
      <w:r w:rsidR="00D805D6">
        <w:rPr>
          <w:rFonts w:ascii="Arial" w:hAnsi="Arial"/>
          <w:b/>
          <w:sz w:val="24"/>
        </w:rPr>
        <w:t>2000/2011</w:t>
      </w:r>
      <w:r w:rsidRPr="00375623">
        <w:rPr>
          <w:rFonts w:ascii="Arial" w:hAnsi="Arial"/>
          <w:b/>
          <w:sz w:val="24"/>
        </w:rPr>
        <w:t>)</w:t>
      </w:r>
    </w:p>
    <w:p w14:paraId="55167881" w14:textId="77777777" w:rsidR="00F71658" w:rsidRDefault="00F71658" w:rsidP="007B6B88">
      <w:pPr>
        <w:suppressAutoHyphens/>
        <w:jc w:val="center"/>
        <w:rPr>
          <w:rFonts w:ascii="Arial" w:hAnsi="Arial"/>
        </w:rPr>
      </w:pPr>
    </w:p>
    <w:p w14:paraId="5A19C9D9" w14:textId="77777777" w:rsidR="00F71658" w:rsidRPr="00F71658" w:rsidRDefault="00F71658" w:rsidP="007B6B88">
      <w:pPr>
        <w:suppressAutoHyphens/>
        <w:jc w:val="center"/>
        <w:rPr>
          <w:rFonts w:ascii="Arial" w:hAnsi="Arial"/>
        </w:rPr>
      </w:pPr>
    </w:p>
    <w:p w14:paraId="2A6173A2" w14:textId="77777777" w:rsidR="00F71658" w:rsidRDefault="00702A32" w:rsidP="001F0E19">
      <w:pPr>
        <w:jc w:val="center"/>
        <w:rPr>
          <w:rFonts w:ascii="Arial" w:hAnsi="Arial"/>
          <w:b/>
          <w:sz w:val="28"/>
        </w:rPr>
      </w:pPr>
      <w:r>
        <w:rPr>
          <w:rFonts w:ascii="Arial" w:hAnsi="Arial"/>
          <w:b/>
          <w:sz w:val="28"/>
        </w:rPr>
        <w:t>Kriegsklausel</w:t>
      </w:r>
    </w:p>
    <w:p w14:paraId="779DD39B" w14:textId="77777777" w:rsidR="009156BC" w:rsidRDefault="009156BC" w:rsidP="001F0E19">
      <w:pPr>
        <w:jc w:val="center"/>
        <w:rPr>
          <w:rFonts w:ascii="Arial" w:hAnsi="Arial"/>
          <w:b/>
          <w:sz w:val="28"/>
        </w:rPr>
      </w:pPr>
    </w:p>
    <w:p w14:paraId="7CCBE5A1" w14:textId="77777777" w:rsidR="009156BC" w:rsidRPr="009156BC" w:rsidRDefault="009156BC" w:rsidP="001F0E19">
      <w:pPr>
        <w:jc w:val="center"/>
        <w:rPr>
          <w:rFonts w:ascii="Arial" w:hAnsi="Arial"/>
          <w:b/>
          <w:sz w:val="24"/>
          <w:szCs w:val="24"/>
        </w:rPr>
      </w:pPr>
      <w:r w:rsidRPr="00112DC6">
        <w:rPr>
          <w:rFonts w:ascii="Arial" w:hAnsi="Arial"/>
          <w:b/>
          <w:sz w:val="24"/>
          <w:szCs w:val="24"/>
        </w:rPr>
        <w:t>für die Versicherung von See</w:t>
      </w:r>
      <w:r w:rsidR="00A940EF" w:rsidRPr="00112DC6">
        <w:rPr>
          <w:rFonts w:ascii="Arial" w:hAnsi="Arial"/>
          <w:b/>
          <w:sz w:val="24"/>
          <w:szCs w:val="24"/>
        </w:rPr>
        <w:t xml:space="preserve">- </w:t>
      </w:r>
      <w:r w:rsidR="00817079" w:rsidRPr="00112DC6">
        <w:rPr>
          <w:rFonts w:ascii="Arial" w:hAnsi="Arial"/>
          <w:b/>
          <w:sz w:val="24"/>
          <w:szCs w:val="24"/>
        </w:rPr>
        <w:t>und</w:t>
      </w:r>
      <w:r w:rsidRPr="00112DC6">
        <w:rPr>
          <w:rFonts w:ascii="Arial" w:hAnsi="Arial"/>
          <w:b/>
          <w:sz w:val="24"/>
          <w:szCs w:val="24"/>
        </w:rPr>
        <w:t xml:space="preserve"> Lufttransporten nach den DTV</w:t>
      </w:r>
      <w:r w:rsidR="00764E91" w:rsidRPr="00112DC6">
        <w:rPr>
          <w:rFonts w:ascii="Arial" w:hAnsi="Arial"/>
          <w:b/>
          <w:sz w:val="24"/>
          <w:szCs w:val="24"/>
        </w:rPr>
        <w:t>-</w:t>
      </w:r>
      <w:r w:rsidRPr="00112DC6">
        <w:rPr>
          <w:rFonts w:ascii="Arial" w:hAnsi="Arial"/>
          <w:b/>
          <w:sz w:val="24"/>
          <w:szCs w:val="24"/>
        </w:rPr>
        <w:t>Güter 2000/2011</w:t>
      </w:r>
    </w:p>
    <w:p w14:paraId="3535494D" w14:textId="77777777" w:rsidR="00F71658" w:rsidRDefault="00F71658" w:rsidP="001F0E19">
      <w:pPr>
        <w:jc w:val="center"/>
        <w:rPr>
          <w:rFonts w:ascii="Arial" w:hAnsi="Arial"/>
        </w:rPr>
      </w:pPr>
    </w:p>
    <w:p w14:paraId="5849D388" w14:textId="77777777" w:rsidR="00F71658" w:rsidRPr="00F71658" w:rsidRDefault="00F71658" w:rsidP="001F0E19">
      <w:pPr>
        <w:jc w:val="center"/>
        <w:rPr>
          <w:rFonts w:ascii="Arial" w:hAnsi="Arial"/>
        </w:rPr>
      </w:pPr>
    </w:p>
    <w:p w14:paraId="2344E9F7" w14:textId="77777777" w:rsidR="007B6B88" w:rsidRDefault="00702A32" w:rsidP="007B6B88">
      <w:pPr>
        <w:jc w:val="center"/>
        <w:rPr>
          <w:rFonts w:ascii="Arial" w:hAnsi="Arial"/>
        </w:rPr>
      </w:pPr>
      <w:r>
        <w:rPr>
          <w:rFonts w:ascii="Arial" w:hAnsi="Arial"/>
        </w:rPr>
        <w:t>Musterbedingungen des GDV</w:t>
      </w:r>
    </w:p>
    <w:p w14:paraId="25D06F3D" w14:textId="77777777" w:rsidR="007B6B88" w:rsidRDefault="007B6B88" w:rsidP="007B6B88">
      <w:pPr>
        <w:jc w:val="center"/>
        <w:rPr>
          <w:rFonts w:ascii="Arial" w:hAnsi="Arial"/>
        </w:rPr>
      </w:pPr>
    </w:p>
    <w:p w14:paraId="48484E14" w14:textId="77777777" w:rsidR="001F0E19" w:rsidRPr="001F0E19" w:rsidRDefault="001F0E19" w:rsidP="007B6B88">
      <w:pPr>
        <w:jc w:val="cente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5214"/>
      </w:tblGrid>
      <w:tr w:rsidR="007B6B88" w:rsidRPr="00D61851" w14:paraId="5974A04E" w14:textId="77777777" w:rsidTr="00D61851">
        <w:tc>
          <w:tcPr>
            <w:tcW w:w="5000" w:type="pct"/>
            <w:gridSpan w:val="2"/>
            <w:tcBorders>
              <w:bottom w:val="nil"/>
            </w:tcBorders>
            <w:shd w:val="clear" w:color="auto" w:fill="auto"/>
          </w:tcPr>
          <w:p w14:paraId="18E823B8" w14:textId="77777777" w:rsidR="00F71658" w:rsidRPr="00D61851" w:rsidRDefault="00F71658" w:rsidP="00D61851">
            <w:pPr>
              <w:jc w:val="center"/>
              <w:rPr>
                <w:rFonts w:ascii="Arial" w:hAnsi="Arial"/>
              </w:rPr>
            </w:pPr>
          </w:p>
          <w:p w14:paraId="1CAF0424" w14:textId="77777777" w:rsidR="00F71658" w:rsidRPr="00D61851" w:rsidRDefault="00702A32" w:rsidP="00D61851">
            <w:pPr>
              <w:jc w:val="center"/>
              <w:rPr>
                <w:rFonts w:ascii="Arial" w:hAnsi="Arial"/>
              </w:rPr>
            </w:pPr>
            <w:r w:rsidRPr="00D61851">
              <w:rPr>
                <w:rFonts w:ascii="Arial" w:hAnsi="Arial"/>
              </w:rPr>
              <w:t>Inhaltsübersicht</w:t>
            </w:r>
          </w:p>
          <w:p w14:paraId="013E98B2" w14:textId="77777777" w:rsidR="007B6B88" w:rsidRPr="00D61851" w:rsidRDefault="007B6B88" w:rsidP="00D61851">
            <w:pPr>
              <w:jc w:val="center"/>
              <w:rPr>
                <w:rFonts w:ascii="Arial" w:hAnsi="Arial"/>
                <w:sz w:val="18"/>
              </w:rPr>
            </w:pPr>
          </w:p>
        </w:tc>
      </w:tr>
      <w:tr w:rsidR="007B6B88" w:rsidRPr="00D61851" w14:paraId="403582A9" w14:textId="77777777" w:rsidTr="00D61851">
        <w:tc>
          <w:tcPr>
            <w:tcW w:w="2499" w:type="pct"/>
            <w:tcBorders>
              <w:top w:val="nil"/>
              <w:right w:val="nil"/>
            </w:tcBorders>
            <w:shd w:val="clear" w:color="auto" w:fill="auto"/>
          </w:tcPr>
          <w:p w14:paraId="6A36C0A7" w14:textId="77777777" w:rsidR="00F71658" w:rsidRPr="00D61851" w:rsidRDefault="007B6B88" w:rsidP="00D61851">
            <w:pPr>
              <w:tabs>
                <w:tab w:val="left" w:pos="567"/>
                <w:tab w:val="left" w:pos="709"/>
                <w:tab w:val="left" w:pos="851"/>
              </w:tabs>
              <w:ind w:left="709" w:hanging="709"/>
              <w:rPr>
                <w:rFonts w:ascii="Arial" w:hAnsi="Arial"/>
                <w:b/>
                <w:sz w:val="18"/>
              </w:rPr>
            </w:pPr>
            <w:r w:rsidRPr="00D61851">
              <w:rPr>
                <w:rFonts w:ascii="Arial" w:hAnsi="Arial"/>
                <w:b/>
                <w:sz w:val="18"/>
              </w:rPr>
              <w:t>1</w:t>
            </w:r>
            <w:r w:rsidRPr="00D61851">
              <w:rPr>
                <w:rFonts w:ascii="Arial" w:hAnsi="Arial"/>
                <w:b/>
                <w:sz w:val="18"/>
              </w:rPr>
              <w:tab/>
              <w:t xml:space="preserve">Umfang der Versicherung </w:t>
            </w:r>
          </w:p>
          <w:p w14:paraId="5189B6AF" w14:textId="77777777" w:rsidR="00F71658" w:rsidRPr="00D61851" w:rsidRDefault="00702A32" w:rsidP="00D61851">
            <w:pPr>
              <w:tabs>
                <w:tab w:val="left" w:pos="567"/>
                <w:tab w:val="left" w:pos="709"/>
                <w:tab w:val="left" w:pos="851"/>
              </w:tabs>
              <w:ind w:left="709" w:hanging="709"/>
              <w:rPr>
                <w:rFonts w:ascii="Arial" w:hAnsi="Arial"/>
                <w:b/>
                <w:sz w:val="18"/>
              </w:rPr>
            </w:pPr>
            <w:r w:rsidRPr="00D61851">
              <w:rPr>
                <w:rFonts w:ascii="Arial" w:hAnsi="Arial"/>
                <w:b/>
                <w:sz w:val="18"/>
              </w:rPr>
              <w:t>2</w:t>
            </w:r>
            <w:r w:rsidRPr="00D61851">
              <w:rPr>
                <w:rFonts w:ascii="Arial" w:hAnsi="Arial"/>
                <w:b/>
                <w:sz w:val="18"/>
              </w:rPr>
              <w:tab/>
              <w:t>Ausschlüsse</w:t>
            </w:r>
          </w:p>
          <w:p w14:paraId="2B32469F" w14:textId="77777777" w:rsidR="00F71658" w:rsidRPr="00D61851" w:rsidRDefault="007B6B88" w:rsidP="00D61851">
            <w:pPr>
              <w:tabs>
                <w:tab w:val="left" w:pos="567"/>
              </w:tabs>
              <w:ind w:left="567" w:hanging="567"/>
              <w:jc w:val="both"/>
              <w:rPr>
                <w:rFonts w:ascii="Arial" w:hAnsi="Arial"/>
                <w:b/>
                <w:sz w:val="18"/>
              </w:rPr>
            </w:pPr>
            <w:r w:rsidRPr="00D61851">
              <w:rPr>
                <w:rFonts w:ascii="Arial" w:hAnsi="Arial"/>
                <w:b/>
                <w:sz w:val="18"/>
              </w:rPr>
              <w:t>3</w:t>
            </w:r>
            <w:r w:rsidRPr="00D61851">
              <w:rPr>
                <w:rFonts w:ascii="Arial" w:hAnsi="Arial"/>
                <w:b/>
                <w:sz w:val="18"/>
              </w:rPr>
              <w:tab/>
              <w:t>Beginn und Ende der Versicherung bei Seetransporten</w:t>
            </w:r>
          </w:p>
          <w:p w14:paraId="42CBFC95" w14:textId="77777777" w:rsidR="00F71658" w:rsidRPr="00D61851" w:rsidRDefault="007B6B88" w:rsidP="00D61851">
            <w:pPr>
              <w:tabs>
                <w:tab w:val="left" w:pos="567"/>
                <w:tab w:val="left" w:pos="709"/>
                <w:tab w:val="left" w:pos="851"/>
              </w:tabs>
              <w:ind w:left="709" w:hanging="709"/>
              <w:rPr>
                <w:rFonts w:ascii="Arial" w:hAnsi="Arial"/>
                <w:b/>
                <w:sz w:val="18"/>
              </w:rPr>
            </w:pPr>
            <w:r w:rsidRPr="00D61851">
              <w:rPr>
                <w:rFonts w:ascii="Arial" w:hAnsi="Arial"/>
                <w:b/>
                <w:sz w:val="18"/>
              </w:rPr>
              <w:t>4</w:t>
            </w:r>
            <w:r w:rsidRPr="00D61851">
              <w:rPr>
                <w:rFonts w:ascii="Arial" w:hAnsi="Arial"/>
                <w:b/>
                <w:sz w:val="18"/>
              </w:rPr>
              <w:tab/>
              <w:t>Reiseänderung</w:t>
            </w:r>
          </w:p>
          <w:p w14:paraId="26A5AA29" w14:textId="77777777" w:rsidR="007B6B88" w:rsidRPr="00D61851" w:rsidRDefault="007B6B88" w:rsidP="00D61851">
            <w:pPr>
              <w:tabs>
                <w:tab w:val="left" w:pos="567"/>
              </w:tabs>
              <w:jc w:val="both"/>
              <w:rPr>
                <w:rFonts w:ascii="Arial" w:hAnsi="Arial"/>
                <w:sz w:val="18"/>
              </w:rPr>
            </w:pPr>
          </w:p>
        </w:tc>
        <w:tc>
          <w:tcPr>
            <w:tcW w:w="2501" w:type="pct"/>
            <w:tcBorders>
              <w:top w:val="nil"/>
              <w:left w:val="nil"/>
            </w:tcBorders>
            <w:shd w:val="clear" w:color="auto" w:fill="auto"/>
          </w:tcPr>
          <w:p w14:paraId="3C7DAC0E" w14:textId="77777777" w:rsidR="00F71658" w:rsidRPr="00D61851" w:rsidRDefault="00702A32" w:rsidP="00D61851">
            <w:pPr>
              <w:tabs>
                <w:tab w:val="left" w:pos="746"/>
              </w:tabs>
              <w:ind w:left="746" w:hanging="567"/>
              <w:rPr>
                <w:rFonts w:ascii="Arial" w:hAnsi="Arial"/>
                <w:b/>
                <w:sz w:val="18"/>
              </w:rPr>
            </w:pPr>
            <w:r w:rsidRPr="00D61851">
              <w:rPr>
                <w:rFonts w:ascii="Arial" w:hAnsi="Arial"/>
                <w:b/>
                <w:sz w:val="18"/>
              </w:rPr>
              <w:t>5</w:t>
            </w:r>
            <w:r w:rsidRPr="00D61851">
              <w:rPr>
                <w:rFonts w:ascii="Arial" w:hAnsi="Arial"/>
                <w:b/>
                <w:sz w:val="18"/>
              </w:rPr>
              <w:tab/>
              <w:t>Kündigung</w:t>
            </w:r>
          </w:p>
          <w:p w14:paraId="3C3E61AA" w14:textId="77777777" w:rsidR="007B6B88" w:rsidRPr="00946552" w:rsidRDefault="007B6B88" w:rsidP="00946552">
            <w:pPr>
              <w:tabs>
                <w:tab w:val="left" w:pos="746"/>
                <w:tab w:val="left" w:pos="887"/>
              </w:tabs>
              <w:ind w:left="746" w:hanging="567"/>
              <w:jc w:val="both"/>
              <w:rPr>
                <w:rFonts w:ascii="Arial" w:hAnsi="Arial"/>
                <w:b/>
                <w:sz w:val="18"/>
              </w:rPr>
            </w:pPr>
            <w:r w:rsidRPr="00D61851">
              <w:rPr>
                <w:rFonts w:ascii="Arial" w:hAnsi="Arial"/>
                <w:b/>
                <w:sz w:val="18"/>
              </w:rPr>
              <w:t>6</w:t>
            </w:r>
            <w:r w:rsidRPr="00D61851">
              <w:rPr>
                <w:rFonts w:ascii="Arial" w:hAnsi="Arial"/>
                <w:b/>
                <w:sz w:val="18"/>
              </w:rPr>
              <w:tab/>
              <w:t>Lufttransporte</w:t>
            </w:r>
          </w:p>
        </w:tc>
      </w:tr>
    </w:tbl>
    <w:p w14:paraId="5FE2674F" w14:textId="77777777" w:rsidR="00F71658" w:rsidRDefault="00F71658">
      <w:pPr>
        <w:tabs>
          <w:tab w:val="left" w:pos="567"/>
        </w:tabs>
        <w:ind w:left="567" w:hanging="567"/>
        <w:jc w:val="both"/>
        <w:rPr>
          <w:rFonts w:ascii="Arial" w:hAnsi="Arial"/>
          <w:b/>
          <w:sz w:val="18"/>
        </w:rPr>
      </w:pPr>
    </w:p>
    <w:p w14:paraId="0BA21A58" w14:textId="77777777" w:rsidR="00C40E18" w:rsidRDefault="00C40E18">
      <w:pPr>
        <w:tabs>
          <w:tab w:val="left" w:pos="567"/>
        </w:tabs>
        <w:ind w:left="567" w:hanging="567"/>
        <w:jc w:val="both"/>
        <w:rPr>
          <w:rFonts w:ascii="Arial" w:hAnsi="Arial"/>
          <w:b/>
          <w:sz w:val="18"/>
        </w:rPr>
        <w:sectPr w:rsidR="00C40E18" w:rsidSect="00F7165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066" w:right="850" w:bottom="567" w:left="850" w:header="357" w:footer="351" w:gutter="0"/>
          <w:pgNumType w:start="1"/>
          <w:cols w:space="737"/>
          <w:noEndnote/>
          <w:titlePg/>
          <w:docGrid w:linePitch="65"/>
        </w:sectPr>
      </w:pPr>
    </w:p>
    <w:p w14:paraId="64D950DF" w14:textId="77777777" w:rsidR="00F71658" w:rsidRPr="00112DC6" w:rsidRDefault="007B6B88" w:rsidP="00F71658">
      <w:pPr>
        <w:keepNext/>
        <w:tabs>
          <w:tab w:val="left" w:pos="567"/>
        </w:tabs>
        <w:spacing w:after="100"/>
        <w:ind w:left="567" w:hanging="567"/>
        <w:jc w:val="both"/>
        <w:rPr>
          <w:rFonts w:ascii="Arial" w:hAnsi="Arial"/>
          <w:b/>
          <w:sz w:val="18"/>
        </w:rPr>
      </w:pPr>
      <w:r>
        <w:rPr>
          <w:rFonts w:ascii="Arial" w:hAnsi="Arial"/>
          <w:b/>
          <w:sz w:val="18"/>
        </w:rPr>
        <w:t>1</w:t>
      </w:r>
      <w:r>
        <w:rPr>
          <w:rFonts w:ascii="Arial" w:hAnsi="Arial"/>
          <w:b/>
          <w:sz w:val="18"/>
        </w:rPr>
        <w:tab/>
      </w:r>
      <w:r w:rsidRPr="00112DC6">
        <w:rPr>
          <w:rFonts w:ascii="Arial" w:hAnsi="Arial"/>
          <w:b/>
          <w:sz w:val="18"/>
        </w:rPr>
        <w:t>Umfang der Versicherung</w:t>
      </w:r>
    </w:p>
    <w:p w14:paraId="00006FFB" w14:textId="77777777" w:rsidR="00F71658" w:rsidRDefault="007B6B88" w:rsidP="00F71658">
      <w:pPr>
        <w:tabs>
          <w:tab w:val="left" w:pos="567"/>
        </w:tabs>
        <w:spacing w:after="100"/>
        <w:ind w:left="567" w:hanging="567"/>
        <w:jc w:val="both"/>
        <w:rPr>
          <w:rFonts w:ascii="Arial" w:hAnsi="Arial"/>
          <w:sz w:val="18"/>
        </w:rPr>
      </w:pPr>
      <w:r w:rsidRPr="00112DC6">
        <w:rPr>
          <w:rFonts w:ascii="Arial" w:hAnsi="Arial"/>
          <w:sz w:val="18"/>
        </w:rPr>
        <w:t>1.1</w:t>
      </w:r>
      <w:r w:rsidRPr="00112DC6">
        <w:rPr>
          <w:rFonts w:ascii="Arial" w:hAnsi="Arial"/>
          <w:sz w:val="18"/>
        </w:rPr>
        <w:tab/>
      </w:r>
      <w:r w:rsidR="00CC486D" w:rsidRPr="00112DC6">
        <w:rPr>
          <w:rFonts w:ascii="Arial" w:hAnsi="Arial"/>
          <w:sz w:val="18"/>
        </w:rPr>
        <w:t xml:space="preserve">Nach Maßgabe der </w:t>
      </w:r>
      <w:r w:rsidR="00D1661D" w:rsidRPr="00112DC6">
        <w:rPr>
          <w:rFonts w:ascii="Arial" w:hAnsi="Arial"/>
          <w:sz w:val="18"/>
        </w:rPr>
        <w:t xml:space="preserve">nachfolgenden Bestimmungen und </w:t>
      </w:r>
      <w:r w:rsidRPr="00112DC6">
        <w:rPr>
          <w:rFonts w:ascii="Arial" w:hAnsi="Arial"/>
          <w:sz w:val="18"/>
        </w:rPr>
        <w:t>in Abänderung von Ziffer 2.4.1</w:t>
      </w:r>
      <w:r w:rsidR="008B6AAD" w:rsidRPr="00112DC6">
        <w:rPr>
          <w:rFonts w:ascii="Arial" w:hAnsi="Arial"/>
          <w:sz w:val="18"/>
        </w:rPr>
        <w:t>.1</w:t>
      </w:r>
      <w:r w:rsidRPr="00112DC6">
        <w:rPr>
          <w:rFonts w:ascii="Arial" w:hAnsi="Arial"/>
          <w:sz w:val="18"/>
        </w:rPr>
        <w:t xml:space="preserve"> der DTV-Güter </w:t>
      </w:r>
      <w:r w:rsidR="00D805D6" w:rsidRPr="00112DC6">
        <w:rPr>
          <w:rFonts w:ascii="Arial" w:hAnsi="Arial"/>
          <w:sz w:val="18"/>
        </w:rPr>
        <w:t>2000/2011</w:t>
      </w:r>
      <w:r w:rsidRPr="00112DC6">
        <w:rPr>
          <w:rFonts w:ascii="Arial" w:hAnsi="Arial"/>
          <w:sz w:val="18"/>
        </w:rPr>
        <w:t xml:space="preserve"> </w:t>
      </w:r>
      <w:r w:rsidR="00D1661D" w:rsidRPr="00112DC6">
        <w:rPr>
          <w:rFonts w:ascii="Arial" w:hAnsi="Arial"/>
          <w:sz w:val="18"/>
        </w:rPr>
        <w:t xml:space="preserve">sind mitversichert </w:t>
      </w:r>
      <w:r w:rsidRPr="00112DC6">
        <w:rPr>
          <w:rFonts w:ascii="Arial" w:hAnsi="Arial"/>
          <w:sz w:val="18"/>
        </w:rPr>
        <w:t xml:space="preserve">Verlust oder Beschädigung der versicherten Güter </w:t>
      </w:r>
      <w:r w:rsidR="00B35B28" w:rsidRPr="00112DC6">
        <w:rPr>
          <w:rFonts w:ascii="Arial" w:hAnsi="Arial"/>
          <w:sz w:val="18"/>
        </w:rPr>
        <w:t>ausschließlich bei Seetransporten (Ziffer 3)</w:t>
      </w:r>
      <w:r w:rsidR="00D56AC6" w:rsidRPr="00112DC6">
        <w:rPr>
          <w:rFonts w:ascii="Arial" w:hAnsi="Arial"/>
          <w:sz w:val="18"/>
        </w:rPr>
        <w:t xml:space="preserve"> oder</w:t>
      </w:r>
      <w:r w:rsidR="00B35B28" w:rsidRPr="00112DC6">
        <w:rPr>
          <w:rFonts w:ascii="Arial" w:hAnsi="Arial"/>
          <w:sz w:val="18"/>
        </w:rPr>
        <w:t xml:space="preserve"> Lufttransporten (Ziffer 6)</w:t>
      </w:r>
      <w:r w:rsidR="00B35B28">
        <w:rPr>
          <w:rFonts w:ascii="Arial" w:hAnsi="Arial"/>
          <w:sz w:val="18"/>
        </w:rPr>
        <w:t xml:space="preserve"> </w:t>
      </w:r>
      <w:r>
        <w:rPr>
          <w:rFonts w:ascii="Arial" w:hAnsi="Arial"/>
          <w:sz w:val="18"/>
        </w:rPr>
        <w:t>als Folge von</w:t>
      </w:r>
    </w:p>
    <w:p w14:paraId="2BD4920E"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1.1.1</w:t>
      </w:r>
      <w:r>
        <w:rPr>
          <w:rFonts w:ascii="Arial" w:hAnsi="Arial"/>
          <w:sz w:val="18"/>
        </w:rPr>
        <w:tab/>
        <w:t>Krieg, Bürgerkrieg oder kriegsähnlichen Ereignissen und solchen, die sich unabhängig vom Kriegszustand aus der feindlichen Verwendung von Kriegswerkzeugen sowie aus dem Vorhandensein von Kriegswerkzeugen als Folge einer dieser Gefahren ergeben;</w:t>
      </w:r>
    </w:p>
    <w:p w14:paraId="14F3DA76"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1.1.2</w:t>
      </w:r>
      <w:r>
        <w:rPr>
          <w:rFonts w:ascii="Arial" w:hAnsi="Arial"/>
          <w:sz w:val="18"/>
        </w:rPr>
        <w:tab/>
        <w:t>Beschlagnahme, Entziehung oder sonstigen Eingriffen von hoher Hand als Folge der in Ziffer 1.1.1 genannten Gefahren.</w:t>
      </w:r>
    </w:p>
    <w:p w14:paraId="6A10AB0B" w14:textId="77777777" w:rsidR="00F71658" w:rsidRDefault="007B6B88" w:rsidP="00F71658">
      <w:pPr>
        <w:keepNext/>
        <w:tabs>
          <w:tab w:val="left" w:pos="567"/>
        </w:tabs>
        <w:spacing w:after="100"/>
        <w:ind w:left="567" w:hanging="567"/>
        <w:jc w:val="both"/>
        <w:rPr>
          <w:rFonts w:ascii="Arial" w:hAnsi="Arial"/>
          <w:b/>
          <w:sz w:val="18"/>
        </w:rPr>
      </w:pPr>
      <w:r>
        <w:rPr>
          <w:rFonts w:ascii="Arial" w:hAnsi="Arial"/>
          <w:b/>
          <w:sz w:val="18"/>
        </w:rPr>
        <w:t>2</w:t>
      </w:r>
      <w:r>
        <w:rPr>
          <w:rFonts w:ascii="Arial" w:hAnsi="Arial"/>
          <w:b/>
          <w:sz w:val="18"/>
        </w:rPr>
        <w:tab/>
        <w:t>Ausschlüsse</w:t>
      </w:r>
    </w:p>
    <w:p w14:paraId="1C7EBE75" w14:textId="77777777" w:rsidR="00F71658" w:rsidRDefault="007B6B88" w:rsidP="00F71658">
      <w:pPr>
        <w:keepNext/>
        <w:tabs>
          <w:tab w:val="left" w:pos="567"/>
        </w:tabs>
        <w:spacing w:after="100"/>
        <w:ind w:left="567" w:hanging="567"/>
        <w:jc w:val="both"/>
        <w:rPr>
          <w:rFonts w:ascii="Arial" w:hAnsi="Arial"/>
          <w:sz w:val="18"/>
        </w:rPr>
      </w:pPr>
      <w:r>
        <w:rPr>
          <w:rFonts w:ascii="Arial" w:hAnsi="Arial"/>
          <w:sz w:val="18"/>
        </w:rPr>
        <w:tab/>
        <w:t>Von der Versicherung ausge</w:t>
      </w:r>
      <w:r w:rsidR="00BB7FB1">
        <w:rPr>
          <w:rFonts w:ascii="Arial" w:hAnsi="Arial"/>
          <w:sz w:val="18"/>
        </w:rPr>
        <w:t xml:space="preserve">schlossen </w:t>
      </w:r>
      <w:r>
        <w:rPr>
          <w:rFonts w:ascii="Arial" w:hAnsi="Arial"/>
          <w:sz w:val="18"/>
        </w:rPr>
        <w:t>bleiben</w:t>
      </w:r>
    </w:p>
    <w:p w14:paraId="455D52D7"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2.1</w:t>
      </w:r>
      <w:r>
        <w:rPr>
          <w:rFonts w:ascii="Arial" w:hAnsi="Arial"/>
          <w:sz w:val="18"/>
        </w:rPr>
        <w:tab/>
        <w:t>Verlust oder Beschädigung der versicherten Güter als Folge von Beschlagnahme, Entziehung oder sonstiger Eingriffe von hoher Hand, soweit sie auf Gesetzen und Verordnungen beruhen, die bei Beginn des Transportes gelten;</w:t>
      </w:r>
    </w:p>
    <w:p w14:paraId="283FCEC2"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2.2</w:t>
      </w:r>
      <w:r>
        <w:rPr>
          <w:rFonts w:ascii="Arial" w:hAnsi="Arial"/>
          <w:sz w:val="18"/>
        </w:rPr>
        <w:tab/>
        <w:t>Verlust oder Beschädigung der versicherten Güter – und zwar ohne Rücksicht auf sonstige mitwirkende Ursachen – als Folge einer feindlichen Verwendung sowie aus dem Vorhandensein von</w:t>
      </w:r>
    </w:p>
    <w:p w14:paraId="32EBBB59" w14:textId="77777777" w:rsidR="00F71658" w:rsidRDefault="00375623" w:rsidP="00F71658">
      <w:pPr>
        <w:tabs>
          <w:tab w:val="left" w:pos="851"/>
        </w:tabs>
        <w:spacing w:after="100"/>
        <w:ind w:left="851" w:hanging="284"/>
        <w:jc w:val="both"/>
        <w:rPr>
          <w:rFonts w:ascii="Arial" w:hAnsi="Arial"/>
          <w:sz w:val="18"/>
        </w:rPr>
      </w:pPr>
      <w:r>
        <w:rPr>
          <w:rFonts w:ascii="Arial" w:hAnsi="Arial"/>
          <w:sz w:val="18"/>
        </w:rPr>
        <w:t>-</w:t>
      </w:r>
      <w:r>
        <w:rPr>
          <w:rFonts w:ascii="Arial" w:hAnsi="Arial"/>
          <w:sz w:val="18"/>
        </w:rPr>
        <w:tab/>
      </w:r>
      <w:r w:rsidR="007B6B88">
        <w:rPr>
          <w:rFonts w:ascii="Arial" w:hAnsi="Arial"/>
          <w:sz w:val="18"/>
        </w:rPr>
        <w:t>Kernenergie oder sonstiger ionisierender Strahlung,</w:t>
      </w:r>
    </w:p>
    <w:p w14:paraId="187F1B21" w14:textId="77777777" w:rsidR="00F71658" w:rsidRDefault="00375623" w:rsidP="00F71658">
      <w:pPr>
        <w:tabs>
          <w:tab w:val="left" w:pos="851"/>
        </w:tabs>
        <w:spacing w:after="100"/>
        <w:ind w:left="851" w:hanging="284"/>
        <w:jc w:val="both"/>
        <w:rPr>
          <w:rFonts w:ascii="Arial" w:hAnsi="Arial"/>
          <w:sz w:val="18"/>
        </w:rPr>
      </w:pPr>
      <w:r>
        <w:rPr>
          <w:rFonts w:ascii="Arial" w:hAnsi="Arial"/>
          <w:sz w:val="18"/>
        </w:rPr>
        <w:t>-</w:t>
      </w:r>
      <w:r>
        <w:rPr>
          <w:rFonts w:ascii="Arial" w:hAnsi="Arial"/>
          <w:sz w:val="18"/>
        </w:rPr>
        <w:tab/>
      </w:r>
      <w:r w:rsidR="007B6B88">
        <w:rPr>
          <w:rFonts w:ascii="Arial" w:hAnsi="Arial"/>
          <w:sz w:val="18"/>
        </w:rPr>
        <w:t>chemischen, biologischen, biochemischen Substanzen oder   elektromagnetischen Wellen</w:t>
      </w:r>
    </w:p>
    <w:p w14:paraId="5F4073A3" w14:textId="77777777" w:rsidR="00F71658" w:rsidRDefault="007B6B88" w:rsidP="00F71658">
      <w:pPr>
        <w:tabs>
          <w:tab w:val="left" w:pos="851"/>
        </w:tabs>
        <w:spacing w:after="100"/>
        <w:ind w:left="851" w:hanging="284"/>
        <w:jc w:val="both"/>
        <w:rPr>
          <w:rFonts w:ascii="Arial" w:hAnsi="Arial"/>
          <w:sz w:val="18"/>
        </w:rPr>
      </w:pPr>
      <w:r>
        <w:rPr>
          <w:rFonts w:ascii="Arial" w:hAnsi="Arial"/>
          <w:sz w:val="18"/>
        </w:rPr>
        <w:t>als Kriegswerkzeuge;</w:t>
      </w:r>
    </w:p>
    <w:p w14:paraId="46A12C53"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2.3</w:t>
      </w:r>
      <w:r>
        <w:rPr>
          <w:rFonts w:ascii="Arial" w:hAnsi="Arial"/>
          <w:sz w:val="18"/>
        </w:rPr>
        <w:tab/>
        <w:t>Kosten, die dadurch entstehen, dass infolge einer versicherten Gefahr die Reise nicht angetreten, un</w:t>
      </w:r>
      <w:r>
        <w:rPr>
          <w:rFonts w:ascii="Arial" w:hAnsi="Arial"/>
          <w:sz w:val="18"/>
        </w:rPr>
        <w:t>terbrochen oder nicht fortgesetzt wird, ein Hafen angelaufen wird oder die Güter ausgeladen, gelagert oder mit einem anderen Transportmittel weiterbefördert werden, es sei denn, diese Kosten gehören nach den York Antwerpener Regeln zur versicherten großen Haverei.</w:t>
      </w:r>
    </w:p>
    <w:p w14:paraId="302E4C83"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2.4</w:t>
      </w:r>
      <w:r>
        <w:rPr>
          <w:rFonts w:ascii="Arial" w:hAnsi="Arial"/>
          <w:sz w:val="18"/>
        </w:rPr>
        <w:tab/>
        <w:t xml:space="preserve">Soweit nichts anderes vereinbart ist, bleiben die Bestimmungen über ausgeschlossene Gefahren und Schäden gemäß den Ziffern 2.4.1.2 bis 2.4.1.6 und 2.5 der DTV-Güter </w:t>
      </w:r>
      <w:r w:rsidR="00D805D6">
        <w:rPr>
          <w:rFonts w:ascii="Arial" w:hAnsi="Arial"/>
          <w:sz w:val="18"/>
        </w:rPr>
        <w:t>2000/2011</w:t>
      </w:r>
      <w:r>
        <w:rPr>
          <w:rFonts w:ascii="Arial" w:hAnsi="Arial"/>
          <w:sz w:val="18"/>
        </w:rPr>
        <w:t xml:space="preserve"> unberührt. </w:t>
      </w:r>
    </w:p>
    <w:p w14:paraId="7B3A07B1" w14:textId="77777777" w:rsidR="00F71658" w:rsidRDefault="007B6B88" w:rsidP="00F71658">
      <w:pPr>
        <w:tabs>
          <w:tab w:val="left" w:pos="567"/>
        </w:tabs>
        <w:spacing w:after="100"/>
        <w:ind w:left="567" w:hanging="567"/>
        <w:jc w:val="both"/>
        <w:rPr>
          <w:rFonts w:ascii="Arial" w:hAnsi="Arial"/>
          <w:b/>
          <w:sz w:val="18"/>
        </w:rPr>
      </w:pPr>
      <w:r>
        <w:rPr>
          <w:rFonts w:ascii="Arial" w:hAnsi="Arial"/>
          <w:b/>
          <w:sz w:val="18"/>
        </w:rPr>
        <w:t>3</w:t>
      </w:r>
      <w:r>
        <w:rPr>
          <w:rFonts w:ascii="Arial" w:hAnsi="Arial"/>
          <w:b/>
          <w:sz w:val="18"/>
        </w:rPr>
        <w:tab/>
        <w:t>Beginn und Ende der Versicherung bei Seetransporten</w:t>
      </w:r>
    </w:p>
    <w:p w14:paraId="7C4603CA"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3.1</w:t>
      </w:r>
      <w:r>
        <w:rPr>
          <w:rFonts w:ascii="Arial" w:hAnsi="Arial"/>
          <w:sz w:val="18"/>
        </w:rPr>
        <w:tab/>
        <w:t xml:space="preserve">Die Versicherung </w:t>
      </w:r>
      <w:proofErr w:type="gramStart"/>
      <w:r>
        <w:rPr>
          <w:rFonts w:ascii="Arial" w:hAnsi="Arial"/>
          <w:sz w:val="18"/>
        </w:rPr>
        <w:t>gegen</w:t>
      </w:r>
      <w:proofErr w:type="gramEnd"/>
      <w:r>
        <w:rPr>
          <w:rFonts w:ascii="Arial" w:hAnsi="Arial"/>
          <w:sz w:val="18"/>
        </w:rPr>
        <w:t xml:space="preserve"> die in Ziffer 1 genannten Gefahren beginnt, sobald sich die Güter zur Beförderung an Bord des Seeschiffs befinden.</w:t>
      </w:r>
    </w:p>
    <w:p w14:paraId="250C4B34"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3.2</w:t>
      </w:r>
      <w:r>
        <w:rPr>
          <w:rFonts w:ascii="Arial" w:hAnsi="Arial"/>
          <w:sz w:val="18"/>
        </w:rPr>
        <w:tab/>
        <w:t>Die Versicherung endet, sobald die Güter im Bestimmungshafen das Seeschiff verlassen haben, spätestens aber für nicht ausgeladene Güter nach Ablauf von ...... Tagen nach Ankunft des Seeschiffs im Bestimmungshafen.</w:t>
      </w:r>
    </w:p>
    <w:p w14:paraId="63ADD63E"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3.3</w:t>
      </w:r>
      <w:r>
        <w:rPr>
          <w:rFonts w:ascii="Arial" w:hAnsi="Arial"/>
          <w:sz w:val="18"/>
        </w:rPr>
        <w:tab/>
        <w:t>Verlässt das Seeschiff den Bestimmungshafen wieder, ohne dass die Güter ausgeladen wurden, so beginnt die Versicherung mit dem Wiederauslaufen erneut. Die Weiterreise ist dem Versicherer unverzüglich anzuzeigen und eine zu vereinbarende Zuschlagsprämie zu entrichten.</w:t>
      </w:r>
    </w:p>
    <w:p w14:paraId="1F00E5E3"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3.4</w:t>
      </w:r>
      <w:r>
        <w:rPr>
          <w:rFonts w:ascii="Arial" w:hAnsi="Arial"/>
          <w:sz w:val="18"/>
        </w:rPr>
        <w:tab/>
        <w:t>Endet der Frachtvertrag an einem anderen Ort als dem darin genannten Bestimmungshafen, gilt dieser Ort als Bestimmungshafen.</w:t>
      </w:r>
    </w:p>
    <w:p w14:paraId="007FF562"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ab/>
        <w:t>Werden die Güter später nach dem im Frachtvertrag genannten oder einem anderen Bestimmungshafen weiterbefördert, so ist auch die Weiterreise versichert, wenn sie vor ihrem Beginn angezeigt und eine Zuschlagsprämie entrichtet wird. Unverschuldetes Unterlassen der Anzeige beeinträchtigt den Versi</w:t>
      </w:r>
      <w:r>
        <w:rPr>
          <w:rFonts w:ascii="Arial" w:hAnsi="Arial"/>
          <w:sz w:val="18"/>
        </w:rPr>
        <w:lastRenderedPageBreak/>
        <w:t>cherungsschutz für die Weiterreise nicht.</w:t>
      </w:r>
    </w:p>
    <w:p w14:paraId="47F561C1" w14:textId="77777777" w:rsidR="00F71658" w:rsidRDefault="00E865C0" w:rsidP="00F71658">
      <w:pPr>
        <w:tabs>
          <w:tab w:val="left" w:pos="567"/>
        </w:tabs>
        <w:spacing w:after="100"/>
        <w:ind w:left="567" w:hanging="567"/>
        <w:jc w:val="both"/>
        <w:rPr>
          <w:rFonts w:ascii="Arial" w:hAnsi="Arial"/>
          <w:sz w:val="18"/>
        </w:rPr>
      </w:pPr>
      <w:r>
        <w:rPr>
          <w:rFonts w:ascii="Arial" w:hAnsi="Arial"/>
          <w:sz w:val="18"/>
        </w:rPr>
        <w:tab/>
      </w:r>
      <w:r w:rsidR="007B6B88">
        <w:rPr>
          <w:rFonts w:ascii="Arial" w:hAnsi="Arial"/>
          <w:sz w:val="18"/>
        </w:rPr>
        <w:t>Die Versicherung für die Weiterreise beginnt, sobald die Güter sich an Bord des weiterbefördernden Seeschiffes befinden. Wurden die Güter nicht ausgeladen, so beginnt die Versicherung für die Weiterreise mit dem Wiederauslaufen.</w:t>
      </w:r>
    </w:p>
    <w:p w14:paraId="2BB408F3"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3.5</w:t>
      </w:r>
      <w:r>
        <w:rPr>
          <w:rFonts w:ascii="Arial" w:hAnsi="Arial"/>
          <w:sz w:val="18"/>
        </w:rPr>
        <w:tab/>
        <w:t>Werden die Güter in einem Zwischenhafen oder an einem Zwischenplatz umgeladen, ruht die Versicherung nach Ablauf von ...... Tagen nach Ankunft des Seeschiffs im Zwischenhafen, gleichgültig ob die Güter im Zwischenhafen/-platz an Land oder zu Wasser lagern. Die Versicherung tritt erst wieder in Kraft, sobald die Güter sich an Bord des Seeschiffes befinden, mit dem die Weiterreise erfolgen soll.</w:t>
      </w:r>
    </w:p>
    <w:p w14:paraId="34C81D6E"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3.6</w:t>
      </w:r>
      <w:r>
        <w:rPr>
          <w:rFonts w:ascii="Arial" w:hAnsi="Arial"/>
          <w:sz w:val="18"/>
        </w:rPr>
        <w:tab/>
        <w:t>Für das Ende der Versicherung in den Fällen der Ziffern 3.3 bis 3.5 gilt Ziffer 3.2 entsprechend.</w:t>
      </w:r>
    </w:p>
    <w:p w14:paraId="7C1DE5EA"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3.7</w:t>
      </w:r>
      <w:r>
        <w:rPr>
          <w:rFonts w:ascii="Arial" w:hAnsi="Arial"/>
          <w:sz w:val="18"/>
        </w:rPr>
        <w:tab/>
        <w:t>Die Versicherung gegen die Gefahren, die sich aus der feindlichen Verwendung oder dem Vorhandensein von Minen oder treibenden oder gesunkenen Torpedos ergeben, besteht auch, wenn sich die Güter an Bord eines Wasserfahrzeugs befinden, das sie zum oder vom Seeschiff befördert. Bei einer Beförderung vom Seeschiff endet sie jedoch spätestens nach Ablauf von ...... Tagen nach dem Ausladen aus dem Seeschiff, sofern nicht ausdrücklich etwas anderes mit dem Versicherer vereinbart und eine Zuschlagsprämie entrichtet wurde.</w:t>
      </w:r>
    </w:p>
    <w:p w14:paraId="220A43DC"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3.8</w:t>
      </w:r>
      <w:r>
        <w:rPr>
          <w:rFonts w:ascii="Arial" w:hAnsi="Arial"/>
          <w:sz w:val="18"/>
        </w:rPr>
        <w:tab/>
        <w:t>Bestehen die Güter aus mehreren Teilen, so beginnt und endet die Versicherung für jedes Teil nach den vorstehenden Bestimmungen.</w:t>
      </w:r>
    </w:p>
    <w:p w14:paraId="7EDA2084"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3.9</w:t>
      </w:r>
      <w:r>
        <w:rPr>
          <w:rFonts w:ascii="Arial" w:hAnsi="Arial"/>
          <w:sz w:val="18"/>
        </w:rPr>
        <w:tab/>
        <w:t>Die gemäß Ziffern 3.2, 3.5 und 3.7 zu vereinbarenden Fristen beginnen mit dem Ablauf des Ankunftstages des Seeschiffes.</w:t>
      </w:r>
    </w:p>
    <w:p w14:paraId="111E60BE"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3.10</w:t>
      </w:r>
      <w:r>
        <w:rPr>
          <w:rFonts w:ascii="Arial" w:hAnsi="Arial"/>
          <w:sz w:val="18"/>
        </w:rPr>
        <w:tab/>
        <w:t>Ein Seeschiff im Sinne dieser Klausel ist ein Schiff, das während der Beförderung der versicherten Güter einen Teil seiner Reise über See zurückzulegen hat.</w:t>
      </w:r>
    </w:p>
    <w:p w14:paraId="55720501"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ab/>
        <w:t xml:space="preserve">Ein Seeschiff gilt als angekommen, wenn es am Kai oder einem sonstigen Liegeplatz im Hafengebiet festgemacht oder geankert hat. Steht dort kein Liegeplatz zur Verfügung, so ist das Schiff angekommen, wenn es im Hafengebiet oder außerhalb zum </w:t>
      </w:r>
      <w:proofErr w:type="spellStart"/>
      <w:r>
        <w:rPr>
          <w:rFonts w:ascii="Arial" w:hAnsi="Arial"/>
          <w:sz w:val="18"/>
        </w:rPr>
        <w:t>erstenmal</w:t>
      </w:r>
      <w:proofErr w:type="spellEnd"/>
      <w:r>
        <w:rPr>
          <w:rFonts w:ascii="Arial" w:hAnsi="Arial"/>
          <w:sz w:val="18"/>
        </w:rPr>
        <w:t xml:space="preserve"> geankert oder festgemacht hat.</w:t>
      </w:r>
    </w:p>
    <w:p w14:paraId="1236E91C" w14:textId="77777777" w:rsidR="00F71658" w:rsidRDefault="006D43D6" w:rsidP="00F71658">
      <w:pPr>
        <w:keepNext/>
        <w:tabs>
          <w:tab w:val="left" w:pos="567"/>
        </w:tabs>
        <w:spacing w:after="100"/>
        <w:ind w:left="567" w:hanging="567"/>
        <w:jc w:val="both"/>
        <w:rPr>
          <w:rFonts w:ascii="Arial" w:hAnsi="Arial"/>
          <w:b/>
          <w:sz w:val="18"/>
        </w:rPr>
      </w:pPr>
      <w:r>
        <w:rPr>
          <w:rFonts w:ascii="Arial" w:hAnsi="Arial"/>
          <w:b/>
          <w:sz w:val="18"/>
        </w:rPr>
        <w:br w:type="column"/>
      </w:r>
      <w:r w:rsidR="007B6B88">
        <w:rPr>
          <w:rFonts w:ascii="Arial" w:hAnsi="Arial"/>
          <w:b/>
          <w:sz w:val="18"/>
        </w:rPr>
        <w:t>4</w:t>
      </w:r>
      <w:r w:rsidR="007B6B88">
        <w:rPr>
          <w:rFonts w:ascii="Arial" w:hAnsi="Arial"/>
          <w:b/>
          <w:sz w:val="18"/>
        </w:rPr>
        <w:tab/>
        <w:t>Reiseänderung</w:t>
      </w:r>
    </w:p>
    <w:p w14:paraId="5F99804E"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ab/>
        <w:t>Dem Versicherer gebührt eine zu vereinbarende Zuschlagsprämie, wenn sich durch eine Reiseänderung die versicherten Gefahren erhöhen.</w:t>
      </w:r>
    </w:p>
    <w:p w14:paraId="1EDC25D3" w14:textId="77777777" w:rsidR="00F71658" w:rsidRDefault="007B6B88" w:rsidP="006D43D6">
      <w:pPr>
        <w:tabs>
          <w:tab w:val="left" w:pos="567"/>
        </w:tabs>
        <w:spacing w:after="100"/>
        <w:jc w:val="both"/>
        <w:rPr>
          <w:rFonts w:ascii="Arial" w:hAnsi="Arial"/>
          <w:b/>
          <w:sz w:val="18"/>
        </w:rPr>
      </w:pPr>
      <w:r>
        <w:rPr>
          <w:rFonts w:ascii="Arial" w:hAnsi="Arial"/>
          <w:b/>
          <w:sz w:val="18"/>
        </w:rPr>
        <w:t>5</w:t>
      </w:r>
      <w:r>
        <w:rPr>
          <w:rFonts w:ascii="Arial" w:hAnsi="Arial"/>
          <w:b/>
          <w:sz w:val="18"/>
        </w:rPr>
        <w:tab/>
        <w:t>Kündigung</w:t>
      </w:r>
    </w:p>
    <w:p w14:paraId="7EA3E24B" w14:textId="77777777" w:rsidR="00661BD4" w:rsidRPr="00112DC6" w:rsidRDefault="007B6B88" w:rsidP="001537C8">
      <w:pPr>
        <w:tabs>
          <w:tab w:val="left" w:pos="567"/>
        </w:tabs>
        <w:spacing w:after="100"/>
        <w:ind w:left="567" w:hanging="567"/>
        <w:jc w:val="both"/>
        <w:rPr>
          <w:rFonts w:ascii="Arial" w:hAnsi="Arial"/>
          <w:sz w:val="18"/>
        </w:rPr>
      </w:pPr>
      <w:r>
        <w:rPr>
          <w:rFonts w:ascii="Arial" w:hAnsi="Arial"/>
          <w:sz w:val="18"/>
        </w:rPr>
        <w:t>5.1</w:t>
      </w:r>
      <w:r>
        <w:rPr>
          <w:rFonts w:ascii="Arial" w:hAnsi="Arial"/>
          <w:sz w:val="18"/>
        </w:rPr>
        <w:tab/>
        <w:t xml:space="preserve">Die Versicherung der in Ziffer 1 bezeichneten </w:t>
      </w:r>
      <w:r w:rsidRPr="00112DC6">
        <w:rPr>
          <w:rFonts w:ascii="Arial" w:hAnsi="Arial"/>
          <w:sz w:val="18"/>
        </w:rPr>
        <w:t xml:space="preserve">Gefahren kann jederzeit mit einer Frist von zwei Tagen vor Beginn des versicherten Transportes vom Versicherer </w:t>
      </w:r>
      <w:r w:rsidR="005070CA" w:rsidRPr="00112DC6">
        <w:rPr>
          <w:rFonts w:ascii="Arial" w:hAnsi="Arial"/>
          <w:sz w:val="18"/>
        </w:rPr>
        <w:t xml:space="preserve">in Textform </w:t>
      </w:r>
      <w:r w:rsidRPr="00112DC6">
        <w:rPr>
          <w:rFonts w:ascii="Arial" w:hAnsi="Arial"/>
          <w:sz w:val="18"/>
        </w:rPr>
        <w:t xml:space="preserve">gekündigt werden. </w:t>
      </w:r>
    </w:p>
    <w:p w14:paraId="702D64DC" w14:textId="77777777" w:rsidR="00F71658" w:rsidRDefault="007B6B88" w:rsidP="00F71658">
      <w:pPr>
        <w:tabs>
          <w:tab w:val="left" w:pos="567"/>
        </w:tabs>
        <w:spacing w:after="100"/>
        <w:ind w:left="567" w:hanging="567"/>
        <w:jc w:val="both"/>
        <w:rPr>
          <w:rFonts w:ascii="Arial" w:hAnsi="Arial"/>
          <w:sz w:val="18"/>
        </w:rPr>
      </w:pPr>
      <w:r w:rsidRPr="00112DC6">
        <w:rPr>
          <w:rFonts w:ascii="Arial" w:hAnsi="Arial"/>
          <w:sz w:val="18"/>
        </w:rPr>
        <w:t>5.2</w:t>
      </w:r>
      <w:r w:rsidRPr="00112DC6">
        <w:rPr>
          <w:rFonts w:ascii="Arial" w:hAnsi="Arial"/>
          <w:sz w:val="18"/>
        </w:rPr>
        <w:tab/>
        <w:t xml:space="preserve">Der Versicherungsnehmer kann innerhalb von vier Wochen nach der Kündigung des Versicherers seinerseits den ganzen Vertrag mit einer Frist von einer Woche </w:t>
      </w:r>
      <w:r w:rsidR="00AC4ADB" w:rsidRPr="00112DC6">
        <w:rPr>
          <w:rFonts w:ascii="Arial" w:hAnsi="Arial"/>
          <w:sz w:val="18"/>
        </w:rPr>
        <w:t xml:space="preserve">in Textform </w:t>
      </w:r>
      <w:r w:rsidRPr="00112DC6">
        <w:rPr>
          <w:rFonts w:ascii="Arial" w:hAnsi="Arial"/>
          <w:sz w:val="18"/>
        </w:rPr>
        <w:t>kündigen.</w:t>
      </w:r>
    </w:p>
    <w:p w14:paraId="18833174" w14:textId="77777777" w:rsidR="00F71658" w:rsidRDefault="007B6B88" w:rsidP="00F71658">
      <w:pPr>
        <w:tabs>
          <w:tab w:val="left" w:pos="567"/>
        </w:tabs>
        <w:spacing w:after="100"/>
        <w:ind w:left="567" w:hanging="567"/>
        <w:jc w:val="both"/>
        <w:rPr>
          <w:rFonts w:ascii="Arial" w:hAnsi="Arial"/>
          <w:sz w:val="18"/>
        </w:rPr>
      </w:pPr>
      <w:r>
        <w:rPr>
          <w:rFonts w:ascii="Arial" w:hAnsi="Arial"/>
          <w:sz w:val="18"/>
        </w:rPr>
        <w:t>5.3</w:t>
      </w:r>
      <w:r>
        <w:rPr>
          <w:rFonts w:ascii="Arial" w:hAnsi="Arial"/>
          <w:sz w:val="18"/>
        </w:rPr>
        <w:tab/>
        <w:t>Die Kündigung des führenden Versicherers gilt gleichzeitig für alle Mitbeteiligten.</w:t>
      </w:r>
    </w:p>
    <w:p w14:paraId="7C0CE769" w14:textId="77777777" w:rsidR="00F71658" w:rsidRDefault="007B6B88" w:rsidP="00F71658">
      <w:pPr>
        <w:keepNext/>
        <w:tabs>
          <w:tab w:val="left" w:pos="567"/>
        </w:tabs>
        <w:spacing w:after="100"/>
        <w:ind w:left="567" w:hanging="567"/>
        <w:jc w:val="both"/>
        <w:rPr>
          <w:rFonts w:ascii="Arial" w:hAnsi="Arial"/>
          <w:b/>
          <w:sz w:val="18"/>
        </w:rPr>
      </w:pPr>
      <w:r>
        <w:rPr>
          <w:rFonts w:ascii="Arial" w:hAnsi="Arial"/>
          <w:b/>
          <w:sz w:val="18"/>
        </w:rPr>
        <w:t>6</w:t>
      </w:r>
      <w:r>
        <w:rPr>
          <w:rFonts w:ascii="Arial" w:hAnsi="Arial"/>
          <w:b/>
          <w:sz w:val="18"/>
        </w:rPr>
        <w:tab/>
        <w:t>Lufttransporte</w:t>
      </w:r>
    </w:p>
    <w:p w14:paraId="161690CC" w14:textId="77777777" w:rsidR="001714F3" w:rsidRPr="00112DC6" w:rsidRDefault="007B6B88" w:rsidP="00112DC6">
      <w:pPr>
        <w:tabs>
          <w:tab w:val="left" w:pos="567"/>
        </w:tabs>
        <w:spacing w:after="100"/>
        <w:ind w:left="567" w:hanging="567"/>
        <w:jc w:val="both"/>
        <w:rPr>
          <w:rFonts w:ascii="Arial" w:hAnsi="Arial"/>
          <w:sz w:val="18"/>
        </w:rPr>
      </w:pPr>
      <w:r>
        <w:rPr>
          <w:rFonts w:ascii="Arial" w:hAnsi="Arial"/>
          <w:sz w:val="18"/>
        </w:rPr>
        <w:tab/>
        <w:t>Für Transporte mit Luftfahrzeugen gelten diese Bestimmungen entsprechend.</w:t>
      </w:r>
    </w:p>
    <w:p w14:paraId="7ABD9A14" w14:textId="77777777" w:rsidR="00E67DF8" w:rsidRDefault="00E67DF8" w:rsidP="00112DC6">
      <w:pPr>
        <w:spacing w:after="100"/>
        <w:jc w:val="both"/>
      </w:pPr>
    </w:p>
    <w:sectPr w:rsidR="00E67DF8" w:rsidSect="00F71658">
      <w:endnotePr>
        <w:numFmt w:val="decimal"/>
      </w:endnotePr>
      <w:type w:val="continuous"/>
      <w:pgSz w:w="11907" w:h="16840" w:code="9"/>
      <w:pgMar w:top="669" w:right="850" w:bottom="567" w:left="850" w:header="357" w:footer="351" w:gutter="0"/>
      <w:pgNumType w:start="1"/>
      <w:cols w:num="2" w:space="567"/>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0AA8" w14:textId="77777777" w:rsidR="00D60FD1" w:rsidRDefault="00D60FD1">
      <w:pPr>
        <w:spacing w:line="20" w:lineRule="exact"/>
        <w:rPr>
          <w:sz w:val="24"/>
        </w:rPr>
      </w:pPr>
    </w:p>
  </w:endnote>
  <w:endnote w:type="continuationSeparator" w:id="0">
    <w:p w14:paraId="0EC58C30" w14:textId="77777777" w:rsidR="00D60FD1" w:rsidRDefault="00D60FD1">
      <w:r>
        <w:rPr>
          <w:sz w:val="24"/>
        </w:rPr>
        <w:t xml:space="preserve"> </w:t>
      </w:r>
    </w:p>
  </w:endnote>
  <w:endnote w:type="continuationNotice" w:id="1">
    <w:p w14:paraId="4BFA9432" w14:textId="77777777" w:rsidR="00D60FD1" w:rsidRDefault="00D60FD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0CA9" w14:textId="77777777" w:rsidR="001F1863" w:rsidRDefault="001F18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FFD8" w14:textId="3C4B0FA4" w:rsidR="00453BCA" w:rsidRPr="00F71658" w:rsidRDefault="00CE450C" w:rsidP="00F71658">
    <w:pPr>
      <w:pStyle w:val="Fuzeile"/>
      <w:tabs>
        <w:tab w:val="clear" w:pos="4536"/>
        <w:tab w:val="clear" w:pos="9072"/>
        <w:tab w:val="left" w:pos="9213"/>
        <w:tab w:val="right" w:pos="10205"/>
      </w:tabs>
      <w:rPr>
        <w:rFonts w:ascii="Arial" w:hAnsi="Arial" w:cs="Arial"/>
        <w:sz w:val="16"/>
      </w:rPr>
    </w:pPr>
    <w:r>
      <w:rPr>
        <w:rFonts w:ascii="Arial" w:hAnsi="Arial" w:cs="Arial"/>
        <w:noProof/>
        <w:sz w:val="16"/>
      </w:rPr>
      <w:pict w14:anchorId="60F211C5">
        <v:line id="_x0000_s1029" style="position:absolute;z-index:251656192" from=".85pt,-1.4pt" to="36.85pt,-1.4pt" o:allowincell="f">
          <w10:anchorlock/>
        </v:line>
      </w:pict>
    </w:r>
    <w:r w:rsidR="00453BCA" w:rsidRPr="00F71658">
      <w:rPr>
        <w:rFonts w:ascii="Arial" w:hAnsi="Arial" w:cs="Arial"/>
        <w:sz w:val="16"/>
      </w:rPr>
      <w:t xml:space="preserve">DTV-Güter </w:t>
    </w:r>
    <w:r w:rsidR="00D805D6">
      <w:rPr>
        <w:rFonts w:ascii="Arial" w:hAnsi="Arial" w:cs="Arial"/>
        <w:sz w:val="16"/>
      </w:rPr>
      <w:t>2000/2011</w:t>
    </w:r>
    <w:r w:rsidR="00453BCA" w:rsidRPr="00F71658">
      <w:rPr>
        <w:rFonts w:ascii="Arial" w:hAnsi="Arial" w:cs="Arial"/>
        <w:sz w:val="16"/>
      </w:rPr>
      <w:t>, Kriegsklausel</w:t>
    </w:r>
    <w:r w:rsidR="006C53F4">
      <w:rPr>
        <w:rFonts w:ascii="Arial" w:hAnsi="Arial" w:cs="Arial"/>
        <w:sz w:val="16"/>
      </w:rPr>
      <w:t xml:space="preserve">, </w:t>
    </w:r>
    <w:r w:rsidR="001F1863">
      <w:rPr>
        <w:rFonts w:ascii="Arial" w:hAnsi="Arial" w:cs="Arial"/>
        <w:sz w:val="16"/>
      </w:rPr>
      <w:t>April</w:t>
    </w:r>
    <w:r w:rsidR="001709DA">
      <w:rPr>
        <w:rFonts w:ascii="Arial" w:hAnsi="Arial" w:cs="Arial"/>
        <w:sz w:val="16"/>
      </w:rPr>
      <w:t xml:space="preserve"> </w:t>
    </w:r>
    <w:r w:rsidR="006208BE">
      <w:rPr>
        <w:rFonts w:ascii="Arial" w:hAnsi="Arial" w:cs="Arial"/>
        <w:sz w:val="16"/>
      </w:rPr>
      <w:t>202</w:t>
    </w:r>
    <w:r w:rsidR="00946552">
      <w:rPr>
        <w:rFonts w:ascii="Arial" w:hAnsi="Arial" w:cs="Arial"/>
        <w:sz w:val="16"/>
      </w:rPr>
      <w:t>4</w:t>
    </w:r>
    <w:r w:rsidR="00453BCA" w:rsidRPr="00F71658">
      <w:rPr>
        <w:rFonts w:ascii="Arial" w:hAnsi="Arial" w:cs="Arial"/>
        <w:sz w:val="16"/>
      </w:rPr>
      <w:tab/>
      <w:t>Seite</w:t>
    </w:r>
    <w:r w:rsidR="00453BCA" w:rsidRPr="00F71658">
      <w:rPr>
        <w:rFonts w:ascii="Arial" w:hAnsi="Arial" w:cs="Arial"/>
        <w:sz w:val="16"/>
      </w:rPr>
      <w:tab/>
    </w:r>
    <w:r w:rsidR="00453BCA" w:rsidRPr="00F71658">
      <w:rPr>
        <w:rFonts w:ascii="Arial" w:hAnsi="Arial" w:cs="Arial"/>
        <w:sz w:val="16"/>
      </w:rPr>
      <w:fldChar w:fldCharType="begin"/>
    </w:r>
    <w:r w:rsidR="00453BCA" w:rsidRPr="00F71658">
      <w:rPr>
        <w:rFonts w:ascii="Arial" w:hAnsi="Arial" w:cs="Arial"/>
        <w:sz w:val="16"/>
      </w:rPr>
      <w:instrText xml:space="preserve"> PAGE  \* MERGEFORMAT </w:instrText>
    </w:r>
    <w:r w:rsidR="00453BCA" w:rsidRPr="00F71658">
      <w:rPr>
        <w:rFonts w:ascii="Arial" w:hAnsi="Arial" w:cs="Arial"/>
        <w:sz w:val="16"/>
      </w:rPr>
      <w:fldChar w:fldCharType="separate"/>
    </w:r>
    <w:r w:rsidR="004A3C67">
      <w:rPr>
        <w:rFonts w:ascii="Arial" w:hAnsi="Arial" w:cs="Arial"/>
        <w:noProof/>
        <w:sz w:val="16"/>
      </w:rPr>
      <w:t>2</w:t>
    </w:r>
    <w:r w:rsidR="00453BCA" w:rsidRPr="00F71658">
      <w:rPr>
        <w:rFonts w:ascii="Arial" w:hAnsi="Arial" w:cs="Arial"/>
        <w:sz w:val="16"/>
      </w:rPr>
      <w:fldChar w:fldCharType="end"/>
    </w:r>
    <w:r w:rsidR="00453BCA" w:rsidRPr="00F71658">
      <w:rPr>
        <w:rFonts w:ascii="Arial" w:hAnsi="Arial" w:cs="Arial"/>
        <w:sz w:val="16"/>
      </w:rPr>
      <w:t xml:space="preserve"> / </w:t>
    </w:r>
    <w:r w:rsidR="00453BCA" w:rsidRPr="00F71658">
      <w:rPr>
        <w:rFonts w:ascii="Arial" w:hAnsi="Arial" w:cs="Arial"/>
        <w:sz w:val="16"/>
      </w:rPr>
      <w:fldChar w:fldCharType="begin"/>
    </w:r>
    <w:r w:rsidR="00453BCA" w:rsidRPr="00F71658">
      <w:rPr>
        <w:rFonts w:ascii="Arial" w:hAnsi="Arial" w:cs="Arial"/>
        <w:sz w:val="16"/>
      </w:rPr>
      <w:instrText xml:space="preserve"> NUMPAGES  \* MERGEFORMAT </w:instrText>
    </w:r>
    <w:r w:rsidR="00453BCA" w:rsidRPr="00F71658">
      <w:rPr>
        <w:rFonts w:ascii="Arial" w:hAnsi="Arial" w:cs="Arial"/>
        <w:sz w:val="16"/>
      </w:rPr>
      <w:fldChar w:fldCharType="separate"/>
    </w:r>
    <w:r w:rsidR="004A3C67">
      <w:rPr>
        <w:rFonts w:ascii="Arial" w:hAnsi="Arial" w:cs="Arial"/>
        <w:noProof/>
        <w:sz w:val="16"/>
      </w:rPr>
      <w:t>2</w:t>
    </w:r>
    <w:r w:rsidR="00453BCA" w:rsidRPr="00F7165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1A08" w14:textId="0BA91802" w:rsidR="00453BCA" w:rsidRPr="00F71658" w:rsidRDefault="00CE450C" w:rsidP="00F71658">
    <w:pPr>
      <w:pStyle w:val="Fuzeile"/>
      <w:tabs>
        <w:tab w:val="clear" w:pos="4536"/>
        <w:tab w:val="clear" w:pos="9072"/>
        <w:tab w:val="left" w:pos="9213"/>
        <w:tab w:val="right" w:pos="10205"/>
      </w:tabs>
      <w:rPr>
        <w:rFonts w:ascii="Arial" w:hAnsi="Arial" w:cs="Arial"/>
        <w:sz w:val="16"/>
      </w:rPr>
    </w:pPr>
    <w:r>
      <w:rPr>
        <w:rFonts w:ascii="Arial" w:hAnsi="Arial" w:cs="Arial"/>
        <w:noProof/>
        <w:sz w:val="16"/>
      </w:rPr>
      <w:pict w14:anchorId="01FCD019">
        <v:line id="_x0000_s1028" style="position:absolute;z-index:-251657216" from=".85pt,-1.4pt" to="36.85pt,-1.4pt" o:allowincell="f">
          <w10:anchorlock/>
        </v:line>
      </w:pict>
    </w:r>
    <w:r w:rsidR="00453BCA" w:rsidRPr="00F71658">
      <w:rPr>
        <w:rFonts w:ascii="Arial" w:hAnsi="Arial" w:cs="Arial"/>
        <w:sz w:val="16"/>
      </w:rPr>
      <w:t xml:space="preserve">DTV-Güter </w:t>
    </w:r>
    <w:r w:rsidR="00D805D6">
      <w:rPr>
        <w:rFonts w:ascii="Arial" w:hAnsi="Arial" w:cs="Arial"/>
        <w:sz w:val="16"/>
      </w:rPr>
      <w:t>2000/2011</w:t>
    </w:r>
    <w:r w:rsidR="00453BCA" w:rsidRPr="00F71658">
      <w:rPr>
        <w:rFonts w:ascii="Arial" w:hAnsi="Arial" w:cs="Arial"/>
        <w:sz w:val="16"/>
      </w:rPr>
      <w:t xml:space="preserve">, Kriegsklausel, </w:t>
    </w:r>
    <w:r w:rsidR="005E6D39">
      <w:rPr>
        <w:rFonts w:ascii="Arial" w:hAnsi="Arial" w:cs="Arial"/>
        <w:sz w:val="16"/>
      </w:rPr>
      <w:t>April</w:t>
    </w:r>
    <w:r w:rsidR="00954F5D">
      <w:rPr>
        <w:rFonts w:ascii="Arial" w:hAnsi="Arial" w:cs="Arial"/>
        <w:sz w:val="16"/>
      </w:rPr>
      <w:t xml:space="preserve"> </w:t>
    </w:r>
    <w:r w:rsidR="006208BE">
      <w:rPr>
        <w:rFonts w:ascii="Arial" w:hAnsi="Arial" w:cs="Arial"/>
        <w:sz w:val="16"/>
      </w:rPr>
      <w:t>202</w:t>
    </w:r>
    <w:r w:rsidR="00892C18">
      <w:rPr>
        <w:rFonts w:ascii="Arial" w:hAnsi="Arial" w:cs="Arial"/>
        <w:sz w:val="16"/>
      </w:rPr>
      <w:t>4</w:t>
    </w:r>
    <w:r w:rsidR="00453BCA" w:rsidRPr="00F71658">
      <w:rPr>
        <w:rFonts w:ascii="Arial" w:hAnsi="Arial" w:cs="Arial"/>
        <w:sz w:val="16"/>
      </w:rPr>
      <w:tab/>
      <w:t>Seite</w:t>
    </w:r>
    <w:r w:rsidR="00453BCA" w:rsidRPr="00F71658">
      <w:rPr>
        <w:rFonts w:ascii="Arial" w:hAnsi="Arial" w:cs="Arial"/>
        <w:sz w:val="16"/>
      </w:rPr>
      <w:tab/>
    </w:r>
    <w:r w:rsidR="00453BCA" w:rsidRPr="00F71658">
      <w:rPr>
        <w:rFonts w:ascii="Arial" w:hAnsi="Arial" w:cs="Arial"/>
        <w:sz w:val="16"/>
      </w:rPr>
      <w:fldChar w:fldCharType="begin"/>
    </w:r>
    <w:r w:rsidR="00453BCA" w:rsidRPr="00F71658">
      <w:rPr>
        <w:rFonts w:ascii="Arial" w:hAnsi="Arial" w:cs="Arial"/>
        <w:sz w:val="16"/>
      </w:rPr>
      <w:instrText xml:space="preserve"> PAGE  \* MERGEFORMAT </w:instrText>
    </w:r>
    <w:r w:rsidR="00453BCA" w:rsidRPr="00F71658">
      <w:rPr>
        <w:rFonts w:ascii="Arial" w:hAnsi="Arial" w:cs="Arial"/>
        <w:sz w:val="16"/>
      </w:rPr>
      <w:fldChar w:fldCharType="separate"/>
    </w:r>
    <w:r w:rsidR="004A3C67">
      <w:rPr>
        <w:rFonts w:ascii="Arial" w:hAnsi="Arial" w:cs="Arial"/>
        <w:noProof/>
        <w:sz w:val="16"/>
      </w:rPr>
      <w:t>1</w:t>
    </w:r>
    <w:r w:rsidR="00453BCA" w:rsidRPr="00F71658">
      <w:rPr>
        <w:rFonts w:ascii="Arial" w:hAnsi="Arial" w:cs="Arial"/>
        <w:sz w:val="16"/>
      </w:rPr>
      <w:fldChar w:fldCharType="end"/>
    </w:r>
    <w:r w:rsidR="00453BCA" w:rsidRPr="00F71658">
      <w:rPr>
        <w:rFonts w:ascii="Arial" w:hAnsi="Arial" w:cs="Arial"/>
        <w:sz w:val="16"/>
      </w:rPr>
      <w:t xml:space="preserve"> / </w:t>
    </w:r>
    <w:r w:rsidR="00453BCA" w:rsidRPr="00F71658">
      <w:rPr>
        <w:rFonts w:ascii="Arial" w:hAnsi="Arial" w:cs="Arial"/>
        <w:sz w:val="16"/>
      </w:rPr>
      <w:fldChar w:fldCharType="begin"/>
    </w:r>
    <w:r w:rsidR="00453BCA" w:rsidRPr="00F71658">
      <w:rPr>
        <w:rFonts w:ascii="Arial" w:hAnsi="Arial" w:cs="Arial"/>
        <w:sz w:val="16"/>
      </w:rPr>
      <w:instrText xml:space="preserve"> NUMPAGES  \* MERGEFORMAT </w:instrText>
    </w:r>
    <w:r w:rsidR="00453BCA" w:rsidRPr="00F71658">
      <w:rPr>
        <w:rFonts w:ascii="Arial" w:hAnsi="Arial" w:cs="Arial"/>
        <w:sz w:val="16"/>
      </w:rPr>
      <w:fldChar w:fldCharType="separate"/>
    </w:r>
    <w:r w:rsidR="004A3C67">
      <w:rPr>
        <w:rFonts w:ascii="Arial" w:hAnsi="Arial" w:cs="Arial"/>
        <w:noProof/>
        <w:sz w:val="16"/>
      </w:rPr>
      <w:t>2</w:t>
    </w:r>
    <w:r w:rsidR="00453BCA" w:rsidRPr="00F7165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D188" w14:textId="77777777" w:rsidR="00D60FD1" w:rsidRDefault="00D60FD1">
      <w:r>
        <w:rPr>
          <w:sz w:val="24"/>
        </w:rPr>
        <w:separator/>
      </w:r>
    </w:p>
  </w:footnote>
  <w:footnote w:type="continuationSeparator" w:id="0">
    <w:p w14:paraId="0DAB6D56" w14:textId="77777777" w:rsidR="00D60FD1" w:rsidRDefault="00D6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F8CA" w14:textId="77777777" w:rsidR="001F1863" w:rsidRDefault="001F18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7C0B" w14:textId="3C3E2742" w:rsidR="00453BCA" w:rsidRDefault="00CE450C" w:rsidP="00F71658">
    <w:pPr>
      <w:pStyle w:val="Kopfzeile"/>
      <w:spacing w:after="100"/>
      <w:rPr>
        <w:rFonts w:ascii="Arial" w:hAnsi="Arial" w:cs="Arial"/>
        <w:b/>
        <w:sz w:val="24"/>
      </w:rPr>
    </w:pPr>
    <w:r>
      <w:rPr>
        <w:noProof/>
      </w:rPr>
      <w:pict w14:anchorId="6A44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Logo Gesamtverband der Versicherer" style="position:absolute;margin-left:0;margin-top:15.1pt;width:184.5pt;height:32.25pt;z-index:251658240;visibility:visible;mso-position-horizontal-relative:margin">
          <v:imagedata r:id="rId1" o:title="" croptop="18289f" cropbottom="14479f" cropleft="3732f" cropright="4431f"/>
          <w10:wrap anchorx="margin"/>
        </v:shape>
      </w:pict>
    </w:r>
  </w:p>
  <w:p w14:paraId="47C28671" w14:textId="77777777" w:rsidR="00453BCA" w:rsidRDefault="00453BCA" w:rsidP="00F71658">
    <w:pPr>
      <w:pStyle w:val="Kopfzeile"/>
      <w:spacing w:after="100"/>
      <w:rPr>
        <w:rFonts w:ascii="Arial" w:hAnsi="Arial" w:cs="Arial"/>
        <w:b/>
        <w:sz w:val="24"/>
      </w:rPr>
    </w:pPr>
  </w:p>
  <w:p w14:paraId="0CAC6BBB" w14:textId="77777777" w:rsidR="00453BCA" w:rsidRDefault="00453BCA" w:rsidP="00F71658">
    <w:pPr>
      <w:pStyle w:val="Kopfzeile"/>
      <w:spacing w:after="100"/>
      <w:rPr>
        <w:rFonts w:ascii="Arial" w:hAnsi="Arial" w:cs="Arial"/>
        <w:b/>
        <w:sz w:val="24"/>
      </w:rPr>
    </w:pPr>
  </w:p>
  <w:p w14:paraId="4DAD8DC5" w14:textId="77777777" w:rsidR="00453BCA" w:rsidRPr="00F71658" w:rsidRDefault="00453BCA" w:rsidP="00F71658">
    <w:pPr>
      <w:pStyle w:val="Kopfzeile"/>
      <w:spacing w:after="100"/>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8506" w14:textId="28B7C537" w:rsidR="00453BCA" w:rsidRDefault="00CE450C" w:rsidP="00F71658">
    <w:pPr>
      <w:pStyle w:val="Textkrper2"/>
      <w:pBdr>
        <w:bottom w:val="single" w:sz="4" w:space="1" w:color="auto"/>
      </w:pBdr>
      <w:spacing w:after="100"/>
      <w:rPr>
        <w:rFonts w:cs="Arial"/>
        <w:b/>
        <w:sz w:val="24"/>
      </w:rPr>
    </w:pPr>
    <w:r>
      <w:rPr>
        <w:noProof/>
      </w:rPr>
      <w:pict w14:anchorId="4C30A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2" type="#_x0000_t75" alt="Logo Gesamtverband der Versicherer" style="position:absolute;left:0;text-align:left;margin-left:0;margin-top:15.05pt;width:184.5pt;height:32.25pt;z-index:251657216;visibility:visible;mso-position-horizontal-relative:margin">
          <v:imagedata r:id="rId1" o:title="" croptop="18314f" cropbottom="14486f" cropleft="3738f" cropright="4426f"/>
          <w10:wrap anchorx="margin"/>
        </v:shape>
      </w:pict>
    </w:r>
  </w:p>
  <w:p w14:paraId="5AA40D7F" w14:textId="77777777" w:rsidR="00453BCA" w:rsidRDefault="00453BCA" w:rsidP="00F71658">
    <w:pPr>
      <w:pStyle w:val="Textkrper2"/>
      <w:pBdr>
        <w:bottom w:val="single" w:sz="4" w:space="1" w:color="auto"/>
      </w:pBdr>
      <w:spacing w:after="100"/>
      <w:rPr>
        <w:rFonts w:cs="Arial"/>
        <w:b/>
        <w:sz w:val="24"/>
      </w:rPr>
    </w:pPr>
  </w:p>
  <w:p w14:paraId="62A6A491" w14:textId="77777777" w:rsidR="00453BCA" w:rsidRDefault="00453BCA" w:rsidP="00F71658">
    <w:pPr>
      <w:pStyle w:val="Textkrper2"/>
      <w:pBdr>
        <w:bottom w:val="single" w:sz="4" w:space="1" w:color="auto"/>
      </w:pBdr>
      <w:spacing w:after="100"/>
      <w:rPr>
        <w:rFonts w:cs="Arial"/>
        <w:b/>
        <w:sz w:val="24"/>
      </w:rPr>
    </w:pPr>
  </w:p>
  <w:p w14:paraId="2E0429F1" w14:textId="77777777" w:rsidR="00453BCA" w:rsidRPr="00F71658" w:rsidRDefault="00453BCA" w:rsidP="00F71658">
    <w:pPr>
      <w:pStyle w:val="Textkrper2"/>
      <w:pBdr>
        <w:bottom w:val="single" w:sz="4" w:space="1" w:color="auto"/>
      </w:pBdr>
      <w:spacing w:after="100"/>
      <w:rPr>
        <w:rFonts w:cs="Arial"/>
        <w:b/>
        <w:sz w:val="24"/>
      </w:rPr>
    </w:pPr>
  </w:p>
  <w:p w14:paraId="70C9BF2A" w14:textId="77777777" w:rsidR="00453BCA" w:rsidRPr="00F71658" w:rsidRDefault="00453BCA" w:rsidP="00F71658">
    <w:pPr>
      <w:pStyle w:val="Textkrper2"/>
      <w:pBdr>
        <w:bottom w:val="single" w:sz="4" w:space="1" w:color="auto"/>
      </w:pBdr>
      <w:rPr>
        <w:sz w:val="20"/>
      </w:rPr>
    </w:pPr>
    <w:r w:rsidRPr="00F71658">
      <w:rPr>
        <w:sz w:val="20"/>
      </w:rPr>
      <w:t>Unverbindliche Bekanntgabe des Gesamtverbandes der Deutschen Versicherungswirtschaft e. V. (GDV)</w:t>
    </w:r>
    <w:r w:rsidRPr="00F71658">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EA929D1"/>
    <w:multiLevelType w:val="hybridMultilevel"/>
    <w:tmpl w:val="CCEE63A6"/>
    <w:lvl w:ilvl="0" w:tplc="B210AE0C">
      <w:start w:val="1"/>
      <w:numFmt w:val="bullet"/>
      <w:lvlText w:val=""/>
      <w:lvlJc w:val="left"/>
      <w:pPr>
        <w:tabs>
          <w:tab w:val="num" w:pos="357"/>
        </w:tabs>
        <w:ind w:left="357" w:hanging="357"/>
      </w:pPr>
      <w:rPr>
        <w:rFonts w:ascii="Symbol" w:hAnsi="Symbol" w:hint="default"/>
      </w:rPr>
    </w:lvl>
    <w:lvl w:ilvl="1" w:tplc="7D4C5AC2" w:tentative="1">
      <w:start w:val="1"/>
      <w:numFmt w:val="bullet"/>
      <w:lvlText w:val="o"/>
      <w:lvlJc w:val="left"/>
      <w:pPr>
        <w:tabs>
          <w:tab w:val="num" w:pos="1440"/>
        </w:tabs>
        <w:ind w:left="1440" w:hanging="360"/>
      </w:pPr>
      <w:rPr>
        <w:rFonts w:ascii="Courier New" w:hAnsi="Courier New" w:cs="Courier New" w:hint="default"/>
      </w:rPr>
    </w:lvl>
    <w:lvl w:ilvl="2" w:tplc="3EA821D6" w:tentative="1">
      <w:start w:val="1"/>
      <w:numFmt w:val="bullet"/>
      <w:lvlText w:val=""/>
      <w:lvlJc w:val="left"/>
      <w:pPr>
        <w:tabs>
          <w:tab w:val="num" w:pos="2160"/>
        </w:tabs>
        <w:ind w:left="2160" w:hanging="360"/>
      </w:pPr>
      <w:rPr>
        <w:rFonts w:ascii="Wingdings" w:hAnsi="Wingdings" w:hint="default"/>
      </w:rPr>
    </w:lvl>
    <w:lvl w:ilvl="3" w:tplc="7F74264A" w:tentative="1">
      <w:start w:val="1"/>
      <w:numFmt w:val="bullet"/>
      <w:lvlText w:val=""/>
      <w:lvlJc w:val="left"/>
      <w:pPr>
        <w:tabs>
          <w:tab w:val="num" w:pos="2880"/>
        </w:tabs>
        <w:ind w:left="2880" w:hanging="360"/>
      </w:pPr>
      <w:rPr>
        <w:rFonts w:ascii="Symbol" w:hAnsi="Symbol" w:hint="default"/>
      </w:rPr>
    </w:lvl>
    <w:lvl w:ilvl="4" w:tplc="3112E7BE" w:tentative="1">
      <w:start w:val="1"/>
      <w:numFmt w:val="bullet"/>
      <w:lvlText w:val="o"/>
      <w:lvlJc w:val="left"/>
      <w:pPr>
        <w:tabs>
          <w:tab w:val="num" w:pos="3600"/>
        </w:tabs>
        <w:ind w:left="3600" w:hanging="360"/>
      </w:pPr>
      <w:rPr>
        <w:rFonts w:ascii="Courier New" w:hAnsi="Courier New" w:cs="Courier New" w:hint="default"/>
      </w:rPr>
    </w:lvl>
    <w:lvl w:ilvl="5" w:tplc="01765D38" w:tentative="1">
      <w:start w:val="1"/>
      <w:numFmt w:val="bullet"/>
      <w:lvlText w:val=""/>
      <w:lvlJc w:val="left"/>
      <w:pPr>
        <w:tabs>
          <w:tab w:val="num" w:pos="4320"/>
        </w:tabs>
        <w:ind w:left="4320" w:hanging="360"/>
      </w:pPr>
      <w:rPr>
        <w:rFonts w:ascii="Wingdings" w:hAnsi="Wingdings" w:hint="default"/>
      </w:rPr>
    </w:lvl>
    <w:lvl w:ilvl="6" w:tplc="C41ACF6A" w:tentative="1">
      <w:start w:val="1"/>
      <w:numFmt w:val="bullet"/>
      <w:lvlText w:val=""/>
      <w:lvlJc w:val="left"/>
      <w:pPr>
        <w:tabs>
          <w:tab w:val="num" w:pos="5040"/>
        </w:tabs>
        <w:ind w:left="5040" w:hanging="360"/>
      </w:pPr>
      <w:rPr>
        <w:rFonts w:ascii="Symbol" w:hAnsi="Symbol" w:hint="default"/>
      </w:rPr>
    </w:lvl>
    <w:lvl w:ilvl="7" w:tplc="900E00A6" w:tentative="1">
      <w:start w:val="1"/>
      <w:numFmt w:val="bullet"/>
      <w:lvlText w:val="o"/>
      <w:lvlJc w:val="left"/>
      <w:pPr>
        <w:tabs>
          <w:tab w:val="num" w:pos="5760"/>
        </w:tabs>
        <w:ind w:left="5760" w:hanging="360"/>
      </w:pPr>
      <w:rPr>
        <w:rFonts w:ascii="Courier New" w:hAnsi="Courier New" w:cs="Courier New" w:hint="default"/>
      </w:rPr>
    </w:lvl>
    <w:lvl w:ilvl="8" w:tplc="314A50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019A1"/>
    <w:multiLevelType w:val="hybridMultilevel"/>
    <w:tmpl w:val="D43240AE"/>
    <w:lvl w:ilvl="0" w:tplc="9DFAEB60">
      <w:start w:val="1"/>
      <w:numFmt w:val="bullet"/>
      <w:lvlText w:val=""/>
      <w:lvlJc w:val="left"/>
      <w:pPr>
        <w:tabs>
          <w:tab w:val="num" w:pos="927"/>
        </w:tabs>
        <w:ind w:left="927" w:hanging="357"/>
      </w:pPr>
      <w:rPr>
        <w:rFonts w:ascii="Symbol" w:hAnsi="Symbol" w:hint="default"/>
      </w:rPr>
    </w:lvl>
    <w:lvl w:ilvl="1" w:tplc="4C8CF918" w:tentative="1">
      <w:start w:val="1"/>
      <w:numFmt w:val="bullet"/>
      <w:lvlText w:val="o"/>
      <w:lvlJc w:val="left"/>
      <w:pPr>
        <w:tabs>
          <w:tab w:val="num" w:pos="2010"/>
        </w:tabs>
        <w:ind w:left="2010" w:hanging="360"/>
      </w:pPr>
      <w:rPr>
        <w:rFonts w:ascii="Courier New" w:hAnsi="Courier New" w:cs="Courier New" w:hint="default"/>
      </w:rPr>
    </w:lvl>
    <w:lvl w:ilvl="2" w:tplc="DB04E9B6" w:tentative="1">
      <w:start w:val="1"/>
      <w:numFmt w:val="bullet"/>
      <w:lvlText w:val=""/>
      <w:lvlJc w:val="left"/>
      <w:pPr>
        <w:tabs>
          <w:tab w:val="num" w:pos="2730"/>
        </w:tabs>
        <w:ind w:left="2730" w:hanging="360"/>
      </w:pPr>
      <w:rPr>
        <w:rFonts w:ascii="Wingdings" w:hAnsi="Wingdings" w:hint="default"/>
      </w:rPr>
    </w:lvl>
    <w:lvl w:ilvl="3" w:tplc="A156D3E6" w:tentative="1">
      <w:start w:val="1"/>
      <w:numFmt w:val="bullet"/>
      <w:lvlText w:val=""/>
      <w:lvlJc w:val="left"/>
      <w:pPr>
        <w:tabs>
          <w:tab w:val="num" w:pos="3450"/>
        </w:tabs>
        <w:ind w:left="3450" w:hanging="360"/>
      </w:pPr>
      <w:rPr>
        <w:rFonts w:ascii="Symbol" w:hAnsi="Symbol" w:hint="default"/>
      </w:rPr>
    </w:lvl>
    <w:lvl w:ilvl="4" w:tplc="D1CAC310" w:tentative="1">
      <w:start w:val="1"/>
      <w:numFmt w:val="bullet"/>
      <w:lvlText w:val="o"/>
      <w:lvlJc w:val="left"/>
      <w:pPr>
        <w:tabs>
          <w:tab w:val="num" w:pos="4170"/>
        </w:tabs>
        <w:ind w:left="4170" w:hanging="360"/>
      </w:pPr>
      <w:rPr>
        <w:rFonts w:ascii="Courier New" w:hAnsi="Courier New" w:cs="Courier New" w:hint="default"/>
      </w:rPr>
    </w:lvl>
    <w:lvl w:ilvl="5" w:tplc="E0DCEA10" w:tentative="1">
      <w:start w:val="1"/>
      <w:numFmt w:val="bullet"/>
      <w:lvlText w:val=""/>
      <w:lvlJc w:val="left"/>
      <w:pPr>
        <w:tabs>
          <w:tab w:val="num" w:pos="4890"/>
        </w:tabs>
        <w:ind w:left="4890" w:hanging="360"/>
      </w:pPr>
      <w:rPr>
        <w:rFonts w:ascii="Wingdings" w:hAnsi="Wingdings" w:hint="default"/>
      </w:rPr>
    </w:lvl>
    <w:lvl w:ilvl="6" w:tplc="0FDCA89E" w:tentative="1">
      <w:start w:val="1"/>
      <w:numFmt w:val="bullet"/>
      <w:lvlText w:val=""/>
      <w:lvlJc w:val="left"/>
      <w:pPr>
        <w:tabs>
          <w:tab w:val="num" w:pos="5610"/>
        </w:tabs>
        <w:ind w:left="5610" w:hanging="360"/>
      </w:pPr>
      <w:rPr>
        <w:rFonts w:ascii="Symbol" w:hAnsi="Symbol" w:hint="default"/>
      </w:rPr>
    </w:lvl>
    <w:lvl w:ilvl="7" w:tplc="4F469C4C" w:tentative="1">
      <w:start w:val="1"/>
      <w:numFmt w:val="bullet"/>
      <w:lvlText w:val="o"/>
      <w:lvlJc w:val="left"/>
      <w:pPr>
        <w:tabs>
          <w:tab w:val="num" w:pos="6330"/>
        </w:tabs>
        <w:ind w:left="6330" w:hanging="360"/>
      </w:pPr>
      <w:rPr>
        <w:rFonts w:ascii="Courier New" w:hAnsi="Courier New" w:cs="Courier New" w:hint="default"/>
      </w:rPr>
    </w:lvl>
    <w:lvl w:ilvl="8" w:tplc="ACACB1E2" w:tentative="1">
      <w:start w:val="1"/>
      <w:numFmt w:val="bullet"/>
      <w:lvlText w:val=""/>
      <w:lvlJc w:val="left"/>
      <w:pPr>
        <w:tabs>
          <w:tab w:val="num" w:pos="7050"/>
        </w:tabs>
        <w:ind w:left="7050" w:hanging="360"/>
      </w:pPr>
      <w:rPr>
        <w:rFonts w:ascii="Wingdings" w:hAnsi="Wingdings" w:hint="default"/>
      </w:rPr>
    </w:lvl>
  </w:abstractNum>
  <w:abstractNum w:abstractNumId="3" w15:restartNumberingAfterBreak="0">
    <w:nsid w:val="25E15E4D"/>
    <w:multiLevelType w:val="hybridMultilevel"/>
    <w:tmpl w:val="8FFE96BE"/>
    <w:lvl w:ilvl="0" w:tplc="3C086FF2">
      <w:start w:val="3"/>
      <w:numFmt w:val="decimal"/>
      <w:lvlText w:val="%1"/>
      <w:lvlJc w:val="left"/>
      <w:pPr>
        <w:tabs>
          <w:tab w:val="num" w:pos="930"/>
        </w:tabs>
        <w:ind w:left="930" w:hanging="570"/>
      </w:pPr>
      <w:rPr>
        <w:rFonts w:hint="default"/>
      </w:rPr>
    </w:lvl>
    <w:lvl w:ilvl="1" w:tplc="24566FB0" w:tentative="1">
      <w:start w:val="1"/>
      <w:numFmt w:val="lowerLetter"/>
      <w:lvlText w:val="%2."/>
      <w:lvlJc w:val="left"/>
      <w:pPr>
        <w:tabs>
          <w:tab w:val="num" w:pos="1440"/>
        </w:tabs>
        <w:ind w:left="1440" w:hanging="360"/>
      </w:pPr>
    </w:lvl>
    <w:lvl w:ilvl="2" w:tplc="2FAC48DE" w:tentative="1">
      <w:start w:val="1"/>
      <w:numFmt w:val="lowerRoman"/>
      <w:lvlText w:val="%3."/>
      <w:lvlJc w:val="right"/>
      <w:pPr>
        <w:tabs>
          <w:tab w:val="num" w:pos="2160"/>
        </w:tabs>
        <w:ind w:left="2160" w:hanging="180"/>
      </w:pPr>
    </w:lvl>
    <w:lvl w:ilvl="3" w:tplc="D0D29ABC" w:tentative="1">
      <w:start w:val="1"/>
      <w:numFmt w:val="decimal"/>
      <w:lvlText w:val="%4."/>
      <w:lvlJc w:val="left"/>
      <w:pPr>
        <w:tabs>
          <w:tab w:val="num" w:pos="2880"/>
        </w:tabs>
        <w:ind w:left="2880" w:hanging="360"/>
      </w:pPr>
    </w:lvl>
    <w:lvl w:ilvl="4" w:tplc="A81A6400" w:tentative="1">
      <w:start w:val="1"/>
      <w:numFmt w:val="lowerLetter"/>
      <w:lvlText w:val="%5."/>
      <w:lvlJc w:val="left"/>
      <w:pPr>
        <w:tabs>
          <w:tab w:val="num" w:pos="3600"/>
        </w:tabs>
        <w:ind w:left="3600" w:hanging="360"/>
      </w:pPr>
    </w:lvl>
    <w:lvl w:ilvl="5" w:tplc="F198D312" w:tentative="1">
      <w:start w:val="1"/>
      <w:numFmt w:val="lowerRoman"/>
      <w:lvlText w:val="%6."/>
      <w:lvlJc w:val="right"/>
      <w:pPr>
        <w:tabs>
          <w:tab w:val="num" w:pos="4320"/>
        </w:tabs>
        <w:ind w:left="4320" w:hanging="180"/>
      </w:pPr>
    </w:lvl>
    <w:lvl w:ilvl="6" w:tplc="D9C4D204" w:tentative="1">
      <w:start w:val="1"/>
      <w:numFmt w:val="decimal"/>
      <w:lvlText w:val="%7."/>
      <w:lvlJc w:val="left"/>
      <w:pPr>
        <w:tabs>
          <w:tab w:val="num" w:pos="5040"/>
        </w:tabs>
        <w:ind w:left="5040" w:hanging="360"/>
      </w:pPr>
    </w:lvl>
    <w:lvl w:ilvl="7" w:tplc="690C699E" w:tentative="1">
      <w:start w:val="1"/>
      <w:numFmt w:val="lowerLetter"/>
      <w:lvlText w:val="%8."/>
      <w:lvlJc w:val="left"/>
      <w:pPr>
        <w:tabs>
          <w:tab w:val="num" w:pos="5760"/>
        </w:tabs>
        <w:ind w:left="5760" w:hanging="360"/>
      </w:pPr>
    </w:lvl>
    <w:lvl w:ilvl="8" w:tplc="383CD3AC" w:tentative="1">
      <w:start w:val="1"/>
      <w:numFmt w:val="lowerRoman"/>
      <w:lvlText w:val="%9."/>
      <w:lvlJc w:val="right"/>
      <w:pPr>
        <w:tabs>
          <w:tab w:val="num" w:pos="6480"/>
        </w:tabs>
        <w:ind w:left="6480" w:hanging="180"/>
      </w:pPr>
    </w:lvl>
  </w:abstractNum>
  <w:abstractNum w:abstractNumId="4" w15:restartNumberingAfterBreak="0">
    <w:nsid w:val="2657178C"/>
    <w:multiLevelType w:val="hybridMultilevel"/>
    <w:tmpl w:val="2F621AB6"/>
    <w:lvl w:ilvl="0" w:tplc="A54E111C">
      <w:start w:val="1"/>
      <w:numFmt w:val="bullet"/>
      <w:lvlText w:val=""/>
      <w:lvlJc w:val="left"/>
      <w:pPr>
        <w:tabs>
          <w:tab w:val="num" w:pos="1062"/>
        </w:tabs>
        <w:ind w:left="1062" w:hanging="357"/>
      </w:pPr>
      <w:rPr>
        <w:rFonts w:ascii="Symbol" w:hAnsi="Symbol" w:hint="default"/>
      </w:rPr>
    </w:lvl>
    <w:lvl w:ilvl="1" w:tplc="B85C4C98" w:tentative="1">
      <w:start w:val="1"/>
      <w:numFmt w:val="bullet"/>
      <w:lvlText w:val="o"/>
      <w:lvlJc w:val="left"/>
      <w:pPr>
        <w:tabs>
          <w:tab w:val="num" w:pos="2145"/>
        </w:tabs>
        <w:ind w:left="2145" w:hanging="360"/>
      </w:pPr>
      <w:rPr>
        <w:rFonts w:ascii="Courier New" w:hAnsi="Courier New" w:cs="Courier New" w:hint="default"/>
      </w:rPr>
    </w:lvl>
    <w:lvl w:ilvl="2" w:tplc="F2401CCE" w:tentative="1">
      <w:start w:val="1"/>
      <w:numFmt w:val="bullet"/>
      <w:lvlText w:val=""/>
      <w:lvlJc w:val="left"/>
      <w:pPr>
        <w:tabs>
          <w:tab w:val="num" w:pos="2865"/>
        </w:tabs>
        <w:ind w:left="2865" w:hanging="360"/>
      </w:pPr>
      <w:rPr>
        <w:rFonts w:ascii="Wingdings" w:hAnsi="Wingdings" w:hint="default"/>
      </w:rPr>
    </w:lvl>
    <w:lvl w:ilvl="3" w:tplc="76B4640E" w:tentative="1">
      <w:start w:val="1"/>
      <w:numFmt w:val="bullet"/>
      <w:lvlText w:val=""/>
      <w:lvlJc w:val="left"/>
      <w:pPr>
        <w:tabs>
          <w:tab w:val="num" w:pos="3585"/>
        </w:tabs>
        <w:ind w:left="3585" w:hanging="360"/>
      </w:pPr>
      <w:rPr>
        <w:rFonts w:ascii="Symbol" w:hAnsi="Symbol" w:hint="default"/>
      </w:rPr>
    </w:lvl>
    <w:lvl w:ilvl="4" w:tplc="0BF653E4" w:tentative="1">
      <w:start w:val="1"/>
      <w:numFmt w:val="bullet"/>
      <w:lvlText w:val="o"/>
      <w:lvlJc w:val="left"/>
      <w:pPr>
        <w:tabs>
          <w:tab w:val="num" w:pos="4305"/>
        </w:tabs>
        <w:ind w:left="4305" w:hanging="360"/>
      </w:pPr>
      <w:rPr>
        <w:rFonts w:ascii="Courier New" w:hAnsi="Courier New" w:cs="Courier New" w:hint="default"/>
      </w:rPr>
    </w:lvl>
    <w:lvl w:ilvl="5" w:tplc="B37E93B6" w:tentative="1">
      <w:start w:val="1"/>
      <w:numFmt w:val="bullet"/>
      <w:lvlText w:val=""/>
      <w:lvlJc w:val="left"/>
      <w:pPr>
        <w:tabs>
          <w:tab w:val="num" w:pos="5025"/>
        </w:tabs>
        <w:ind w:left="5025" w:hanging="360"/>
      </w:pPr>
      <w:rPr>
        <w:rFonts w:ascii="Wingdings" w:hAnsi="Wingdings" w:hint="default"/>
      </w:rPr>
    </w:lvl>
    <w:lvl w:ilvl="6" w:tplc="499A292A" w:tentative="1">
      <w:start w:val="1"/>
      <w:numFmt w:val="bullet"/>
      <w:lvlText w:val=""/>
      <w:lvlJc w:val="left"/>
      <w:pPr>
        <w:tabs>
          <w:tab w:val="num" w:pos="5745"/>
        </w:tabs>
        <w:ind w:left="5745" w:hanging="360"/>
      </w:pPr>
      <w:rPr>
        <w:rFonts w:ascii="Symbol" w:hAnsi="Symbol" w:hint="default"/>
      </w:rPr>
    </w:lvl>
    <w:lvl w:ilvl="7" w:tplc="99862B08" w:tentative="1">
      <w:start w:val="1"/>
      <w:numFmt w:val="bullet"/>
      <w:lvlText w:val="o"/>
      <w:lvlJc w:val="left"/>
      <w:pPr>
        <w:tabs>
          <w:tab w:val="num" w:pos="6465"/>
        </w:tabs>
        <w:ind w:left="6465" w:hanging="360"/>
      </w:pPr>
      <w:rPr>
        <w:rFonts w:ascii="Courier New" w:hAnsi="Courier New" w:cs="Courier New" w:hint="default"/>
      </w:rPr>
    </w:lvl>
    <w:lvl w:ilvl="8" w:tplc="24E84BD2"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1E6544D"/>
    <w:multiLevelType w:val="hybridMultilevel"/>
    <w:tmpl w:val="27E4C92A"/>
    <w:lvl w:ilvl="0" w:tplc="E70C4CCC">
      <w:start w:val="2"/>
      <w:numFmt w:val="bullet"/>
      <w:lvlText w:val="-"/>
      <w:lvlJc w:val="left"/>
      <w:pPr>
        <w:tabs>
          <w:tab w:val="num" w:pos="930"/>
        </w:tabs>
        <w:ind w:left="930" w:hanging="360"/>
      </w:pPr>
      <w:rPr>
        <w:rFonts w:ascii="Arial" w:eastAsia="Times New Roman" w:hAnsi="Arial" w:cs="Arial" w:hint="default"/>
      </w:rPr>
    </w:lvl>
    <w:lvl w:ilvl="1" w:tplc="90708258" w:tentative="1">
      <w:start w:val="1"/>
      <w:numFmt w:val="bullet"/>
      <w:lvlText w:val="o"/>
      <w:lvlJc w:val="left"/>
      <w:pPr>
        <w:tabs>
          <w:tab w:val="num" w:pos="1650"/>
        </w:tabs>
        <w:ind w:left="1650" w:hanging="360"/>
      </w:pPr>
      <w:rPr>
        <w:rFonts w:ascii="Courier New" w:hAnsi="Courier New" w:cs="Courier New" w:hint="default"/>
      </w:rPr>
    </w:lvl>
    <w:lvl w:ilvl="2" w:tplc="F3F6A7C2" w:tentative="1">
      <w:start w:val="1"/>
      <w:numFmt w:val="bullet"/>
      <w:lvlText w:val=""/>
      <w:lvlJc w:val="left"/>
      <w:pPr>
        <w:tabs>
          <w:tab w:val="num" w:pos="2370"/>
        </w:tabs>
        <w:ind w:left="2370" w:hanging="360"/>
      </w:pPr>
      <w:rPr>
        <w:rFonts w:ascii="Wingdings" w:hAnsi="Wingdings" w:hint="default"/>
      </w:rPr>
    </w:lvl>
    <w:lvl w:ilvl="3" w:tplc="5DF03578" w:tentative="1">
      <w:start w:val="1"/>
      <w:numFmt w:val="bullet"/>
      <w:lvlText w:val=""/>
      <w:lvlJc w:val="left"/>
      <w:pPr>
        <w:tabs>
          <w:tab w:val="num" w:pos="3090"/>
        </w:tabs>
        <w:ind w:left="3090" w:hanging="360"/>
      </w:pPr>
      <w:rPr>
        <w:rFonts w:ascii="Symbol" w:hAnsi="Symbol" w:hint="default"/>
      </w:rPr>
    </w:lvl>
    <w:lvl w:ilvl="4" w:tplc="98627ED0" w:tentative="1">
      <w:start w:val="1"/>
      <w:numFmt w:val="bullet"/>
      <w:lvlText w:val="o"/>
      <w:lvlJc w:val="left"/>
      <w:pPr>
        <w:tabs>
          <w:tab w:val="num" w:pos="3810"/>
        </w:tabs>
        <w:ind w:left="3810" w:hanging="360"/>
      </w:pPr>
      <w:rPr>
        <w:rFonts w:ascii="Courier New" w:hAnsi="Courier New" w:cs="Courier New" w:hint="default"/>
      </w:rPr>
    </w:lvl>
    <w:lvl w:ilvl="5" w:tplc="729A0E98" w:tentative="1">
      <w:start w:val="1"/>
      <w:numFmt w:val="bullet"/>
      <w:lvlText w:val=""/>
      <w:lvlJc w:val="left"/>
      <w:pPr>
        <w:tabs>
          <w:tab w:val="num" w:pos="4530"/>
        </w:tabs>
        <w:ind w:left="4530" w:hanging="360"/>
      </w:pPr>
      <w:rPr>
        <w:rFonts w:ascii="Wingdings" w:hAnsi="Wingdings" w:hint="default"/>
      </w:rPr>
    </w:lvl>
    <w:lvl w:ilvl="6" w:tplc="2C8C70D2" w:tentative="1">
      <w:start w:val="1"/>
      <w:numFmt w:val="bullet"/>
      <w:lvlText w:val=""/>
      <w:lvlJc w:val="left"/>
      <w:pPr>
        <w:tabs>
          <w:tab w:val="num" w:pos="5250"/>
        </w:tabs>
        <w:ind w:left="5250" w:hanging="360"/>
      </w:pPr>
      <w:rPr>
        <w:rFonts w:ascii="Symbol" w:hAnsi="Symbol" w:hint="default"/>
      </w:rPr>
    </w:lvl>
    <w:lvl w:ilvl="7" w:tplc="B2923BCC" w:tentative="1">
      <w:start w:val="1"/>
      <w:numFmt w:val="bullet"/>
      <w:lvlText w:val="o"/>
      <w:lvlJc w:val="left"/>
      <w:pPr>
        <w:tabs>
          <w:tab w:val="num" w:pos="5970"/>
        </w:tabs>
        <w:ind w:left="5970" w:hanging="360"/>
      </w:pPr>
      <w:rPr>
        <w:rFonts w:ascii="Courier New" w:hAnsi="Courier New" w:cs="Courier New" w:hint="default"/>
      </w:rPr>
    </w:lvl>
    <w:lvl w:ilvl="8" w:tplc="4AB4451C"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56E315E5"/>
    <w:multiLevelType w:val="hybridMultilevel"/>
    <w:tmpl w:val="6964816C"/>
    <w:lvl w:ilvl="0" w:tplc="5EAA2090">
      <w:start w:val="1"/>
      <w:numFmt w:val="bullet"/>
      <w:lvlText w:val=""/>
      <w:lvlJc w:val="left"/>
      <w:pPr>
        <w:tabs>
          <w:tab w:val="num" w:pos="357"/>
        </w:tabs>
        <w:ind w:left="357" w:hanging="357"/>
      </w:pPr>
      <w:rPr>
        <w:rFonts w:ascii="Symbol" w:hAnsi="Symbol" w:hint="default"/>
      </w:rPr>
    </w:lvl>
    <w:lvl w:ilvl="1" w:tplc="A20E941E" w:tentative="1">
      <w:start w:val="1"/>
      <w:numFmt w:val="bullet"/>
      <w:lvlText w:val="o"/>
      <w:lvlJc w:val="left"/>
      <w:pPr>
        <w:tabs>
          <w:tab w:val="num" w:pos="1440"/>
        </w:tabs>
        <w:ind w:left="1440" w:hanging="360"/>
      </w:pPr>
      <w:rPr>
        <w:rFonts w:ascii="Courier New" w:hAnsi="Courier New" w:cs="Courier New" w:hint="default"/>
      </w:rPr>
    </w:lvl>
    <w:lvl w:ilvl="2" w:tplc="DC3EDA82" w:tentative="1">
      <w:start w:val="1"/>
      <w:numFmt w:val="bullet"/>
      <w:lvlText w:val=""/>
      <w:lvlJc w:val="left"/>
      <w:pPr>
        <w:tabs>
          <w:tab w:val="num" w:pos="2160"/>
        </w:tabs>
        <w:ind w:left="2160" w:hanging="360"/>
      </w:pPr>
      <w:rPr>
        <w:rFonts w:ascii="Wingdings" w:hAnsi="Wingdings" w:hint="default"/>
      </w:rPr>
    </w:lvl>
    <w:lvl w:ilvl="3" w:tplc="3F309150" w:tentative="1">
      <w:start w:val="1"/>
      <w:numFmt w:val="bullet"/>
      <w:lvlText w:val=""/>
      <w:lvlJc w:val="left"/>
      <w:pPr>
        <w:tabs>
          <w:tab w:val="num" w:pos="2880"/>
        </w:tabs>
        <w:ind w:left="2880" w:hanging="360"/>
      </w:pPr>
      <w:rPr>
        <w:rFonts w:ascii="Symbol" w:hAnsi="Symbol" w:hint="default"/>
      </w:rPr>
    </w:lvl>
    <w:lvl w:ilvl="4" w:tplc="1B169D7A" w:tentative="1">
      <w:start w:val="1"/>
      <w:numFmt w:val="bullet"/>
      <w:lvlText w:val="o"/>
      <w:lvlJc w:val="left"/>
      <w:pPr>
        <w:tabs>
          <w:tab w:val="num" w:pos="3600"/>
        </w:tabs>
        <w:ind w:left="3600" w:hanging="360"/>
      </w:pPr>
      <w:rPr>
        <w:rFonts w:ascii="Courier New" w:hAnsi="Courier New" w:cs="Courier New" w:hint="default"/>
      </w:rPr>
    </w:lvl>
    <w:lvl w:ilvl="5" w:tplc="FF502B4A" w:tentative="1">
      <w:start w:val="1"/>
      <w:numFmt w:val="bullet"/>
      <w:lvlText w:val=""/>
      <w:lvlJc w:val="left"/>
      <w:pPr>
        <w:tabs>
          <w:tab w:val="num" w:pos="4320"/>
        </w:tabs>
        <w:ind w:left="4320" w:hanging="360"/>
      </w:pPr>
      <w:rPr>
        <w:rFonts w:ascii="Wingdings" w:hAnsi="Wingdings" w:hint="default"/>
      </w:rPr>
    </w:lvl>
    <w:lvl w:ilvl="6" w:tplc="0E6A4CCE" w:tentative="1">
      <w:start w:val="1"/>
      <w:numFmt w:val="bullet"/>
      <w:lvlText w:val=""/>
      <w:lvlJc w:val="left"/>
      <w:pPr>
        <w:tabs>
          <w:tab w:val="num" w:pos="5040"/>
        </w:tabs>
        <w:ind w:left="5040" w:hanging="360"/>
      </w:pPr>
      <w:rPr>
        <w:rFonts w:ascii="Symbol" w:hAnsi="Symbol" w:hint="default"/>
      </w:rPr>
    </w:lvl>
    <w:lvl w:ilvl="7" w:tplc="FB84808A" w:tentative="1">
      <w:start w:val="1"/>
      <w:numFmt w:val="bullet"/>
      <w:lvlText w:val="o"/>
      <w:lvlJc w:val="left"/>
      <w:pPr>
        <w:tabs>
          <w:tab w:val="num" w:pos="5760"/>
        </w:tabs>
        <w:ind w:left="5760" w:hanging="360"/>
      </w:pPr>
      <w:rPr>
        <w:rFonts w:ascii="Courier New" w:hAnsi="Courier New" w:cs="Courier New" w:hint="default"/>
      </w:rPr>
    </w:lvl>
    <w:lvl w:ilvl="8" w:tplc="94D42B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12"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3"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5"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1649749635">
    <w:abstractNumId w:val="14"/>
  </w:num>
  <w:num w:numId="2" w16cid:durableId="461730490">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432551258">
    <w:abstractNumId w:val="12"/>
  </w:num>
  <w:num w:numId="4" w16cid:durableId="129129095">
    <w:abstractNumId w:val="16"/>
  </w:num>
  <w:num w:numId="5" w16cid:durableId="714082120">
    <w:abstractNumId w:val="11"/>
  </w:num>
  <w:num w:numId="6" w16cid:durableId="101265058">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1090858637">
    <w:abstractNumId w:val="7"/>
  </w:num>
  <w:num w:numId="8" w16cid:durableId="381635617">
    <w:abstractNumId w:val="4"/>
  </w:num>
  <w:num w:numId="9" w16cid:durableId="1643264778">
    <w:abstractNumId w:val="9"/>
  </w:num>
  <w:num w:numId="10" w16cid:durableId="831720754">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1563059378">
    <w:abstractNumId w:val="3"/>
  </w:num>
  <w:num w:numId="12" w16cid:durableId="1025518035">
    <w:abstractNumId w:val="10"/>
  </w:num>
  <w:num w:numId="13" w16cid:durableId="755440063">
    <w:abstractNumId w:val="15"/>
  </w:num>
  <w:num w:numId="14" w16cid:durableId="1578131763">
    <w:abstractNumId w:val="13"/>
  </w:num>
  <w:num w:numId="15" w16cid:durableId="1060246346">
    <w:abstractNumId w:val="5"/>
  </w:num>
  <w:num w:numId="16" w16cid:durableId="1110470363">
    <w:abstractNumId w:val="8"/>
  </w:num>
  <w:num w:numId="17" w16cid:durableId="108739114">
    <w:abstractNumId w:val="2"/>
  </w:num>
  <w:num w:numId="18" w16cid:durableId="394860115">
    <w:abstractNumId w:val="1"/>
  </w:num>
  <w:num w:numId="19" w16cid:durableId="494758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21E"/>
    <w:rsid w:val="00001784"/>
    <w:rsid w:val="0002654D"/>
    <w:rsid w:val="00030347"/>
    <w:rsid w:val="000331FC"/>
    <w:rsid w:val="00043225"/>
    <w:rsid w:val="0006098C"/>
    <w:rsid w:val="00073A18"/>
    <w:rsid w:val="00074279"/>
    <w:rsid w:val="000818D3"/>
    <w:rsid w:val="00082B75"/>
    <w:rsid w:val="00087D37"/>
    <w:rsid w:val="000A7EED"/>
    <w:rsid w:val="000C09F9"/>
    <w:rsid w:val="000C3C02"/>
    <w:rsid w:val="000F7B83"/>
    <w:rsid w:val="00106AF0"/>
    <w:rsid w:val="00112DC6"/>
    <w:rsid w:val="001267D5"/>
    <w:rsid w:val="00130FDD"/>
    <w:rsid w:val="00147464"/>
    <w:rsid w:val="001537C8"/>
    <w:rsid w:val="00162121"/>
    <w:rsid w:val="001709DA"/>
    <w:rsid w:val="001714F3"/>
    <w:rsid w:val="00172F21"/>
    <w:rsid w:val="00174E0D"/>
    <w:rsid w:val="001B0EE5"/>
    <w:rsid w:val="001C295C"/>
    <w:rsid w:val="001C7170"/>
    <w:rsid w:val="001C7799"/>
    <w:rsid w:val="001F0E19"/>
    <w:rsid w:val="001F1863"/>
    <w:rsid w:val="00217343"/>
    <w:rsid w:val="00234A25"/>
    <w:rsid w:val="0024373D"/>
    <w:rsid w:val="00252749"/>
    <w:rsid w:val="00261E8F"/>
    <w:rsid w:val="00262845"/>
    <w:rsid w:val="002758D9"/>
    <w:rsid w:val="002954D8"/>
    <w:rsid w:val="002A0214"/>
    <w:rsid w:val="002B4064"/>
    <w:rsid w:val="002F29AC"/>
    <w:rsid w:val="0030371D"/>
    <w:rsid w:val="00312B8C"/>
    <w:rsid w:val="003219C1"/>
    <w:rsid w:val="00373429"/>
    <w:rsid w:val="00375623"/>
    <w:rsid w:val="003765BB"/>
    <w:rsid w:val="00385E10"/>
    <w:rsid w:val="003B29DE"/>
    <w:rsid w:val="003C5F83"/>
    <w:rsid w:val="00411234"/>
    <w:rsid w:val="00417A34"/>
    <w:rsid w:val="004215C1"/>
    <w:rsid w:val="00451C29"/>
    <w:rsid w:val="00453BCA"/>
    <w:rsid w:val="00464210"/>
    <w:rsid w:val="004720C8"/>
    <w:rsid w:val="004A3034"/>
    <w:rsid w:val="004A3C67"/>
    <w:rsid w:val="004B53AA"/>
    <w:rsid w:val="004C1B47"/>
    <w:rsid w:val="004E13F4"/>
    <w:rsid w:val="005070CA"/>
    <w:rsid w:val="0050711D"/>
    <w:rsid w:val="00511585"/>
    <w:rsid w:val="005130DC"/>
    <w:rsid w:val="00533636"/>
    <w:rsid w:val="00553882"/>
    <w:rsid w:val="0055560F"/>
    <w:rsid w:val="00556C51"/>
    <w:rsid w:val="00564964"/>
    <w:rsid w:val="00574C33"/>
    <w:rsid w:val="00585481"/>
    <w:rsid w:val="0059149C"/>
    <w:rsid w:val="005A10CA"/>
    <w:rsid w:val="005B624C"/>
    <w:rsid w:val="005D17A4"/>
    <w:rsid w:val="005D3B7D"/>
    <w:rsid w:val="005E31D8"/>
    <w:rsid w:val="005E6D39"/>
    <w:rsid w:val="006208BE"/>
    <w:rsid w:val="006252BA"/>
    <w:rsid w:val="0062589B"/>
    <w:rsid w:val="00626D6C"/>
    <w:rsid w:val="0063419E"/>
    <w:rsid w:val="00661BD4"/>
    <w:rsid w:val="00681C26"/>
    <w:rsid w:val="0068508D"/>
    <w:rsid w:val="006A5241"/>
    <w:rsid w:val="006A7748"/>
    <w:rsid w:val="006B2F04"/>
    <w:rsid w:val="006C53F4"/>
    <w:rsid w:val="006D3C81"/>
    <w:rsid w:val="006D43D6"/>
    <w:rsid w:val="006E2846"/>
    <w:rsid w:val="00702A32"/>
    <w:rsid w:val="00712939"/>
    <w:rsid w:val="00714CCF"/>
    <w:rsid w:val="00764E91"/>
    <w:rsid w:val="007B6B88"/>
    <w:rsid w:val="007D1265"/>
    <w:rsid w:val="007D34EF"/>
    <w:rsid w:val="007D6CC5"/>
    <w:rsid w:val="00817079"/>
    <w:rsid w:val="00823F19"/>
    <w:rsid w:val="008422C1"/>
    <w:rsid w:val="00863ED1"/>
    <w:rsid w:val="00864EBE"/>
    <w:rsid w:val="00892C18"/>
    <w:rsid w:val="008A18F5"/>
    <w:rsid w:val="008A6828"/>
    <w:rsid w:val="008B6AAD"/>
    <w:rsid w:val="00905026"/>
    <w:rsid w:val="009156BC"/>
    <w:rsid w:val="0092712C"/>
    <w:rsid w:val="00933500"/>
    <w:rsid w:val="009428D5"/>
    <w:rsid w:val="00946552"/>
    <w:rsid w:val="0095380F"/>
    <w:rsid w:val="00954F5D"/>
    <w:rsid w:val="00965682"/>
    <w:rsid w:val="00980ECC"/>
    <w:rsid w:val="009943CB"/>
    <w:rsid w:val="009A1804"/>
    <w:rsid w:val="009C521E"/>
    <w:rsid w:val="009D7453"/>
    <w:rsid w:val="009E7C3D"/>
    <w:rsid w:val="00A04E14"/>
    <w:rsid w:val="00A204D8"/>
    <w:rsid w:val="00A34522"/>
    <w:rsid w:val="00A55CF4"/>
    <w:rsid w:val="00A63BCD"/>
    <w:rsid w:val="00A7477B"/>
    <w:rsid w:val="00A8238C"/>
    <w:rsid w:val="00A82ABD"/>
    <w:rsid w:val="00A940EF"/>
    <w:rsid w:val="00AB07C1"/>
    <w:rsid w:val="00AC1EF5"/>
    <w:rsid w:val="00AC4ADB"/>
    <w:rsid w:val="00AE0DE5"/>
    <w:rsid w:val="00AE4832"/>
    <w:rsid w:val="00B313F4"/>
    <w:rsid w:val="00B35B28"/>
    <w:rsid w:val="00B64A83"/>
    <w:rsid w:val="00B9041B"/>
    <w:rsid w:val="00BA72D1"/>
    <w:rsid w:val="00BB3D5F"/>
    <w:rsid w:val="00BB5359"/>
    <w:rsid w:val="00BB7FB1"/>
    <w:rsid w:val="00BE1F47"/>
    <w:rsid w:val="00C01078"/>
    <w:rsid w:val="00C2022B"/>
    <w:rsid w:val="00C2460A"/>
    <w:rsid w:val="00C37B86"/>
    <w:rsid w:val="00C40E18"/>
    <w:rsid w:val="00C554BA"/>
    <w:rsid w:val="00C66646"/>
    <w:rsid w:val="00C7457A"/>
    <w:rsid w:val="00C752DE"/>
    <w:rsid w:val="00C77A84"/>
    <w:rsid w:val="00C84907"/>
    <w:rsid w:val="00C946C3"/>
    <w:rsid w:val="00C94785"/>
    <w:rsid w:val="00CB2897"/>
    <w:rsid w:val="00CC3937"/>
    <w:rsid w:val="00CC486D"/>
    <w:rsid w:val="00CC51D5"/>
    <w:rsid w:val="00CE0385"/>
    <w:rsid w:val="00CE450C"/>
    <w:rsid w:val="00D1661D"/>
    <w:rsid w:val="00D56AC6"/>
    <w:rsid w:val="00D60FD1"/>
    <w:rsid w:val="00D61851"/>
    <w:rsid w:val="00D74D08"/>
    <w:rsid w:val="00D805D6"/>
    <w:rsid w:val="00D870A1"/>
    <w:rsid w:val="00DA5C12"/>
    <w:rsid w:val="00DC2DA5"/>
    <w:rsid w:val="00DD5AD1"/>
    <w:rsid w:val="00DD64C3"/>
    <w:rsid w:val="00E115A5"/>
    <w:rsid w:val="00E17C16"/>
    <w:rsid w:val="00E33D0D"/>
    <w:rsid w:val="00E46CD9"/>
    <w:rsid w:val="00E552F7"/>
    <w:rsid w:val="00E64939"/>
    <w:rsid w:val="00E675A8"/>
    <w:rsid w:val="00E67DF8"/>
    <w:rsid w:val="00E865C0"/>
    <w:rsid w:val="00E8793A"/>
    <w:rsid w:val="00E90570"/>
    <w:rsid w:val="00EB09B0"/>
    <w:rsid w:val="00EB430A"/>
    <w:rsid w:val="00ED1916"/>
    <w:rsid w:val="00ED3238"/>
    <w:rsid w:val="00ED5EE7"/>
    <w:rsid w:val="00ED65BB"/>
    <w:rsid w:val="00EF4938"/>
    <w:rsid w:val="00F03F41"/>
    <w:rsid w:val="00F11C55"/>
    <w:rsid w:val="00F12709"/>
    <w:rsid w:val="00F31659"/>
    <w:rsid w:val="00F44075"/>
    <w:rsid w:val="00F56E32"/>
    <w:rsid w:val="00F71658"/>
    <w:rsid w:val="00F803DB"/>
    <w:rsid w:val="00F824DB"/>
    <w:rsid w:val="00F95D10"/>
    <w:rsid w:val="00FB0DB6"/>
    <w:rsid w:val="00FC3494"/>
    <w:rsid w:val="00FC45D9"/>
    <w:rsid w:val="00FC707D"/>
    <w:rsid w:val="00FD1554"/>
    <w:rsid w:val="00FE2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97812"/>
  <w15:chartTrackingRefBased/>
  <w15:docId w15:val="{8A3486A8-7B96-4188-B05B-DD8B7A02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7B6B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9C521E"/>
    <w:pPr>
      <w:tabs>
        <w:tab w:val="left" w:pos="851"/>
      </w:tabs>
      <w:jc w:val="both"/>
    </w:pPr>
    <w:rPr>
      <w:rFonts w:ascii="Arial" w:hAnsi="Arial" w:cs="Arial"/>
      <w:sz w:val="18"/>
    </w:rPr>
  </w:style>
  <w:style w:type="paragraph" w:customStyle="1" w:styleId="aaadejongAufzStrich">
    <w:name w:val="aaa_dejong_Aufz_Strich"/>
    <w:basedOn w:val="Standard"/>
    <w:autoRedefine/>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character" w:styleId="Kommentarzeichen">
    <w:name w:val="annotation reference"/>
    <w:rsid w:val="00764E91"/>
    <w:rPr>
      <w:sz w:val="16"/>
      <w:szCs w:val="16"/>
    </w:rPr>
  </w:style>
  <w:style w:type="paragraph" w:styleId="Kommentartext">
    <w:name w:val="annotation text"/>
    <w:basedOn w:val="Standard"/>
    <w:link w:val="KommentartextZchn"/>
    <w:rsid w:val="00764E91"/>
  </w:style>
  <w:style w:type="character" w:customStyle="1" w:styleId="KommentartextZchn">
    <w:name w:val="Kommentartext Zchn"/>
    <w:basedOn w:val="Absatz-Standardschriftart"/>
    <w:link w:val="Kommentartext"/>
    <w:rsid w:val="00764E91"/>
  </w:style>
  <w:style w:type="paragraph" w:styleId="Kommentarthema">
    <w:name w:val="annotation subject"/>
    <w:basedOn w:val="Kommentartext"/>
    <w:next w:val="Kommentartext"/>
    <w:link w:val="KommentarthemaZchn"/>
    <w:rsid w:val="00764E91"/>
    <w:rPr>
      <w:b/>
      <w:bCs/>
    </w:rPr>
  </w:style>
  <w:style w:type="character" w:customStyle="1" w:styleId="KommentarthemaZchn">
    <w:name w:val="Kommentarthema Zchn"/>
    <w:link w:val="Kommentarthema"/>
    <w:rsid w:val="00764E91"/>
    <w:rPr>
      <w:b/>
      <w:bCs/>
    </w:rPr>
  </w:style>
  <w:style w:type="paragraph" w:styleId="berarbeitung">
    <w:name w:val="Revision"/>
    <w:hidden/>
    <w:uiPriority w:val="99"/>
    <w:semiHidden/>
    <w:rsid w:val="0017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A50D7-9E15-4E43-9D1F-81D8EEF7D729}">
  <ds:schemaRefs>
    <ds:schemaRef ds:uri="http://www.w3.org/XML/1998/namespace"/>
    <ds:schemaRef ds:uri="http://schemas.openxmlformats.org/package/2006/metadata/core-properties"/>
    <ds:schemaRef ds:uri="http://schemas.microsoft.com/office/2006/documentManagement/types"/>
    <ds:schemaRef ds:uri="http://purl.org/dc/elements/1.1/"/>
    <ds:schemaRef ds:uri="b5539286-5ee8-44bc-baa4-0e2ff02f6573"/>
    <ds:schemaRef ds:uri="http://purl.org/dc/terms/"/>
    <ds:schemaRef ds:uri="http://schemas.microsoft.com/office/infopath/2007/PartnerControls"/>
    <ds:schemaRef ds:uri="7b005ea8-45a7-4705-82f0-6b1ce8aaff7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0D661E-990A-4121-A00F-01FD98F0F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D9D54-6D7B-49AF-8C0C-5A889E3BF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Daniel Fritz</cp:lastModifiedBy>
  <cp:revision>14</cp:revision>
  <cp:lastPrinted>2024-06-04T07:40:00Z</cp:lastPrinted>
  <dcterms:created xsi:type="dcterms:W3CDTF">2024-05-14T07:13:00Z</dcterms:created>
  <dcterms:modified xsi:type="dcterms:W3CDTF">2024-06-04T07:40:00Z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0x01010001C223BB96C84F4E947FDAD2FC42D1FC</vt:lpwstr>
  </property>
</Properties>
</file>