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0D0D" w14:textId="77777777" w:rsidR="00F71658" w:rsidRPr="0032285B" w:rsidRDefault="00F71658" w:rsidP="007B6B88">
      <w:pPr>
        <w:suppressAutoHyphens/>
        <w:jc w:val="center"/>
        <w:rPr>
          <w:rFonts w:ascii="Arial" w:hAnsi="Arial"/>
        </w:rPr>
      </w:pPr>
    </w:p>
    <w:p w14:paraId="2FDAA735" w14:textId="77777777" w:rsidR="00F71658" w:rsidRPr="0032285B" w:rsidRDefault="00F71658" w:rsidP="007B6B88">
      <w:pPr>
        <w:suppressAutoHyphens/>
        <w:jc w:val="center"/>
        <w:rPr>
          <w:rFonts w:ascii="Arial" w:hAnsi="Arial"/>
        </w:rPr>
      </w:pPr>
    </w:p>
    <w:p w14:paraId="724D5CEA" w14:textId="77777777" w:rsidR="00F71658" w:rsidRPr="0032285B" w:rsidRDefault="007B6B88" w:rsidP="007B6B88">
      <w:pPr>
        <w:suppressAutoHyphens/>
        <w:jc w:val="center"/>
        <w:rPr>
          <w:rFonts w:ascii="Arial" w:hAnsi="Arial" w:cs="Arial"/>
          <w:b/>
          <w:sz w:val="24"/>
        </w:rPr>
      </w:pPr>
      <w:r w:rsidRPr="0032285B">
        <w:rPr>
          <w:rFonts w:ascii="Arial" w:eastAsia="Arial" w:hAnsi="Arial" w:cs="Arial"/>
          <w:b/>
          <w:sz w:val="24"/>
          <w:lang w:bidi="en-GB"/>
        </w:rPr>
        <w:t>DTV Cargo Insurance Conditions 2000/2011</w:t>
      </w:r>
    </w:p>
    <w:p w14:paraId="1CF273D9" w14:textId="77777777" w:rsidR="00F71658" w:rsidRPr="0032285B" w:rsidRDefault="00F71658" w:rsidP="007B6B88">
      <w:pPr>
        <w:suppressAutoHyphens/>
        <w:jc w:val="center"/>
        <w:rPr>
          <w:rFonts w:ascii="Arial" w:hAnsi="Arial" w:cs="Arial"/>
        </w:rPr>
      </w:pPr>
    </w:p>
    <w:p w14:paraId="1C53029B" w14:textId="77777777" w:rsidR="00F71658" w:rsidRPr="0032285B" w:rsidRDefault="001F0E19" w:rsidP="007B6B88">
      <w:pPr>
        <w:suppressAutoHyphens/>
        <w:jc w:val="center"/>
        <w:rPr>
          <w:rFonts w:ascii="Arial" w:hAnsi="Arial"/>
          <w:b/>
          <w:sz w:val="24"/>
        </w:rPr>
      </w:pPr>
      <w:r w:rsidRPr="0032285B">
        <w:rPr>
          <w:rFonts w:ascii="Arial" w:eastAsia="Arial" w:hAnsi="Arial" w:cs="Arial"/>
          <w:b/>
          <w:sz w:val="24"/>
          <w:lang w:bidi="en-GB"/>
        </w:rPr>
        <w:t>(DTV Cargo 2000/2011)</w:t>
      </w:r>
    </w:p>
    <w:p w14:paraId="3797C5AE" w14:textId="77777777" w:rsidR="00F71658" w:rsidRPr="0032285B" w:rsidRDefault="00F71658" w:rsidP="007B6B88">
      <w:pPr>
        <w:suppressAutoHyphens/>
        <w:jc w:val="center"/>
        <w:rPr>
          <w:rFonts w:ascii="Arial" w:hAnsi="Arial"/>
        </w:rPr>
      </w:pPr>
    </w:p>
    <w:p w14:paraId="54878817" w14:textId="77777777" w:rsidR="00F71658" w:rsidRPr="0032285B" w:rsidRDefault="00F71658" w:rsidP="007B6B88">
      <w:pPr>
        <w:suppressAutoHyphens/>
        <w:jc w:val="center"/>
        <w:rPr>
          <w:rFonts w:ascii="Arial" w:hAnsi="Arial"/>
        </w:rPr>
      </w:pPr>
    </w:p>
    <w:p w14:paraId="6E7CB910" w14:textId="77777777" w:rsidR="00F71658" w:rsidRPr="0032285B" w:rsidRDefault="00702A32" w:rsidP="001F0E19">
      <w:pPr>
        <w:jc w:val="center"/>
        <w:rPr>
          <w:rFonts w:ascii="Arial" w:hAnsi="Arial"/>
          <w:b/>
          <w:sz w:val="28"/>
        </w:rPr>
      </w:pPr>
      <w:r w:rsidRPr="0032285B">
        <w:rPr>
          <w:rFonts w:ascii="Arial" w:eastAsia="Arial" w:hAnsi="Arial" w:cs="Arial"/>
          <w:b/>
          <w:sz w:val="28"/>
          <w:lang w:bidi="en-GB"/>
        </w:rPr>
        <w:t>War Clause</w:t>
      </w:r>
    </w:p>
    <w:p w14:paraId="41D48B6E" w14:textId="77777777" w:rsidR="009156BC" w:rsidRPr="006E0445" w:rsidRDefault="009156BC" w:rsidP="001F0E19">
      <w:pPr>
        <w:jc w:val="center"/>
        <w:rPr>
          <w:rFonts w:ascii="Arial" w:hAnsi="Arial"/>
        </w:rPr>
      </w:pPr>
    </w:p>
    <w:p w14:paraId="1EFD0DA1" w14:textId="3D140051" w:rsidR="00F71658" w:rsidRDefault="009156BC" w:rsidP="001F0E19">
      <w:pPr>
        <w:jc w:val="center"/>
        <w:rPr>
          <w:rFonts w:ascii="Arial" w:hAnsi="Arial"/>
          <w:b/>
          <w:sz w:val="24"/>
          <w:szCs w:val="24"/>
        </w:rPr>
      </w:pPr>
      <w:r w:rsidRPr="0032285B">
        <w:rPr>
          <w:rFonts w:ascii="Arial" w:eastAsia="Arial" w:hAnsi="Arial" w:cs="Arial"/>
          <w:b/>
          <w:sz w:val="24"/>
          <w:szCs w:val="24"/>
          <w:lang w:bidi="en-GB"/>
        </w:rPr>
        <w:t>for the Insurance of Good</w:t>
      </w:r>
      <w:r w:rsidR="00ED43A6">
        <w:rPr>
          <w:rFonts w:ascii="Arial" w:eastAsia="Arial" w:hAnsi="Arial" w:cs="Arial"/>
          <w:b/>
          <w:sz w:val="24"/>
          <w:szCs w:val="24"/>
          <w:lang w:bidi="en-GB"/>
        </w:rPr>
        <w:t xml:space="preserve">s Carried by </w:t>
      </w:r>
      <w:r w:rsidRPr="0032285B">
        <w:rPr>
          <w:rFonts w:ascii="Arial" w:eastAsia="Arial" w:hAnsi="Arial" w:cs="Arial"/>
          <w:b/>
          <w:sz w:val="24"/>
          <w:szCs w:val="24"/>
          <w:lang w:bidi="en-GB"/>
        </w:rPr>
        <w:t xml:space="preserve">Sea </w:t>
      </w:r>
      <w:r w:rsidR="00ED43A6">
        <w:rPr>
          <w:rFonts w:ascii="Arial" w:eastAsia="Arial" w:hAnsi="Arial" w:cs="Arial"/>
          <w:b/>
          <w:sz w:val="24"/>
          <w:szCs w:val="24"/>
          <w:lang w:bidi="en-GB"/>
        </w:rPr>
        <w:t xml:space="preserve">or </w:t>
      </w:r>
      <w:r w:rsidR="006963CF">
        <w:rPr>
          <w:rFonts w:ascii="Arial" w:eastAsia="Arial" w:hAnsi="Arial" w:cs="Arial"/>
          <w:b/>
          <w:sz w:val="24"/>
          <w:szCs w:val="24"/>
          <w:lang w:bidi="en-GB"/>
        </w:rPr>
        <w:t xml:space="preserve">by </w:t>
      </w:r>
      <w:r w:rsidRPr="0032285B">
        <w:rPr>
          <w:rFonts w:ascii="Arial" w:eastAsia="Arial" w:hAnsi="Arial" w:cs="Arial"/>
          <w:b/>
          <w:sz w:val="24"/>
          <w:szCs w:val="24"/>
          <w:lang w:bidi="en-GB"/>
        </w:rPr>
        <w:t>Air</w:t>
      </w:r>
      <w:r w:rsidR="00ED43A6">
        <w:rPr>
          <w:rFonts w:ascii="Arial" w:eastAsia="Arial" w:hAnsi="Arial" w:cs="Arial"/>
          <w:b/>
          <w:sz w:val="24"/>
          <w:szCs w:val="24"/>
          <w:lang w:bidi="en-GB"/>
        </w:rPr>
        <w:t>, Subject to</w:t>
      </w:r>
      <w:r w:rsidRPr="0032285B">
        <w:rPr>
          <w:rFonts w:ascii="Arial" w:eastAsia="Arial" w:hAnsi="Arial" w:cs="Arial"/>
          <w:b/>
          <w:sz w:val="24"/>
          <w:szCs w:val="24"/>
          <w:lang w:bidi="en-GB"/>
        </w:rPr>
        <w:t xml:space="preserve"> the Provisions of </w:t>
      </w:r>
      <w:r w:rsidR="00ED43A6">
        <w:rPr>
          <w:rFonts w:ascii="Arial" w:eastAsia="Arial" w:hAnsi="Arial" w:cs="Arial"/>
          <w:b/>
          <w:sz w:val="24"/>
          <w:szCs w:val="24"/>
          <w:lang w:bidi="en-GB"/>
        </w:rPr>
        <w:br/>
      </w:r>
      <w:r w:rsidRPr="0032285B">
        <w:rPr>
          <w:rFonts w:ascii="Arial" w:eastAsia="Arial" w:hAnsi="Arial" w:cs="Arial"/>
          <w:b/>
          <w:sz w:val="24"/>
          <w:szCs w:val="24"/>
          <w:lang w:bidi="en-GB"/>
        </w:rPr>
        <w:t>DTV Cargo 2000/2011</w:t>
      </w:r>
    </w:p>
    <w:p w14:paraId="23F328D8" w14:textId="77777777" w:rsidR="00951919" w:rsidRPr="00DA70B5" w:rsidRDefault="00951919" w:rsidP="001F0E19">
      <w:pPr>
        <w:jc w:val="center"/>
        <w:rPr>
          <w:rFonts w:ascii="Arial" w:hAnsi="Arial"/>
        </w:rPr>
      </w:pPr>
    </w:p>
    <w:p w14:paraId="6DBC1E71" w14:textId="3E84C6DA" w:rsidR="00951919" w:rsidRPr="0032285B" w:rsidRDefault="00ED43A6" w:rsidP="001F0E19">
      <w:pPr>
        <w:jc w:val="center"/>
        <w:rPr>
          <w:rFonts w:ascii="Arial" w:hAnsi="Arial"/>
        </w:rPr>
      </w:pPr>
      <w:r>
        <w:rPr>
          <w:rFonts w:ascii="Arial" w:eastAsia="Arial" w:hAnsi="Arial" w:cs="Arial"/>
          <w:b/>
          <w:sz w:val="24"/>
          <w:szCs w:val="24"/>
          <w:lang w:bidi="en-GB"/>
        </w:rPr>
        <w:t>Version</w:t>
      </w:r>
      <w:r w:rsidR="00951919">
        <w:rPr>
          <w:rFonts w:ascii="Arial" w:eastAsia="Arial" w:hAnsi="Arial" w:cs="Arial"/>
          <w:b/>
          <w:sz w:val="24"/>
          <w:szCs w:val="24"/>
          <w:lang w:bidi="en-GB"/>
        </w:rPr>
        <w:t xml:space="preserve"> January 2026</w:t>
      </w:r>
    </w:p>
    <w:p w14:paraId="6D00A264" w14:textId="77777777" w:rsidR="00F71658" w:rsidRPr="0032285B" w:rsidRDefault="00F71658" w:rsidP="001F0E19">
      <w:pPr>
        <w:jc w:val="center"/>
        <w:rPr>
          <w:rFonts w:ascii="Arial" w:hAnsi="Arial"/>
        </w:rPr>
      </w:pPr>
    </w:p>
    <w:p w14:paraId="4C62CC6A" w14:textId="77777777" w:rsidR="007B6B88" w:rsidRPr="000B17C5" w:rsidRDefault="00702A32" w:rsidP="007B6B88">
      <w:pPr>
        <w:jc w:val="center"/>
        <w:rPr>
          <w:rFonts w:ascii="Arial" w:hAnsi="Arial"/>
        </w:rPr>
      </w:pPr>
      <w:r w:rsidRPr="000B17C5">
        <w:rPr>
          <w:rFonts w:ascii="Arial" w:eastAsia="Arial" w:hAnsi="Arial" w:cs="Arial"/>
          <w:lang w:bidi="en-GB"/>
        </w:rPr>
        <w:t>Sample terms and conditions of the GDV</w:t>
      </w:r>
    </w:p>
    <w:p w14:paraId="29CFE315" w14:textId="77777777" w:rsidR="00F36C36" w:rsidRPr="000B17C5" w:rsidRDefault="00F36C36" w:rsidP="00F36C36">
      <w:pPr>
        <w:jc w:val="cente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6"/>
        <w:gridCol w:w="5101"/>
      </w:tblGrid>
      <w:tr w:rsidR="000B17C5" w:rsidRPr="000B17C5" w14:paraId="5FB3CF39" w14:textId="77777777" w:rsidTr="00D61851">
        <w:tc>
          <w:tcPr>
            <w:tcW w:w="5000" w:type="pct"/>
            <w:gridSpan w:val="2"/>
            <w:tcBorders>
              <w:bottom w:val="nil"/>
            </w:tcBorders>
          </w:tcPr>
          <w:p w14:paraId="27476BD4" w14:textId="77777777" w:rsidR="00F71658" w:rsidRPr="000B17C5" w:rsidRDefault="00F71658" w:rsidP="00D61851">
            <w:pPr>
              <w:jc w:val="center"/>
              <w:rPr>
                <w:rFonts w:ascii="Arial" w:hAnsi="Arial"/>
              </w:rPr>
            </w:pPr>
          </w:p>
          <w:p w14:paraId="7A007DA0" w14:textId="77777777" w:rsidR="00F71658" w:rsidRPr="000B17C5" w:rsidRDefault="00702A32" w:rsidP="00D61851">
            <w:pPr>
              <w:jc w:val="center"/>
              <w:rPr>
                <w:rFonts w:ascii="Arial" w:hAnsi="Arial"/>
              </w:rPr>
            </w:pPr>
            <w:r w:rsidRPr="000B17C5">
              <w:rPr>
                <w:rFonts w:ascii="Arial" w:eastAsia="Arial" w:hAnsi="Arial" w:cs="Arial"/>
                <w:lang w:bidi="en-GB"/>
              </w:rPr>
              <w:t>Table of contents</w:t>
            </w:r>
          </w:p>
          <w:p w14:paraId="7FE06C9D" w14:textId="77777777" w:rsidR="007B6B88" w:rsidRPr="000B17C5" w:rsidRDefault="007B6B88" w:rsidP="00D61851">
            <w:pPr>
              <w:jc w:val="center"/>
              <w:rPr>
                <w:rFonts w:ascii="Arial" w:hAnsi="Arial"/>
                <w:sz w:val="18"/>
              </w:rPr>
            </w:pPr>
          </w:p>
        </w:tc>
      </w:tr>
      <w:tr w:rsidR="0005438E" w:rsidRPr="000B17C5" w14:paraId="19CC099B" w14:textId="77777777" w:rsidTr="00D61851">
        <w:tc>
          <w:tcPr>
            <w:tcW w:w="2499" w:type="pct"/>
            <w:tcBorders>
              <w:top w:val="nil"/>
              <w:right w:val="nil"/>
            </w:tcBorders>
          </w:tcPr>
          <w:p w14:paraId="1021B838" w14:textId="77777777" w:rsidR="00F71658" w:rsidRPr="000B17C5" w:rsidRDefault="007B6B88" w:rsidP="00D61851">
            <w:pPr>
              <w:tabs>
                <w:tab w:val="left" w:pos="567"/>
                <w:tab w:val="left" w:pos="709"/>
                <w:tab w:val="left" w:pos="851"/>
              </w:tabs>
              <w:ind w:left="709" w:hanging="709"/>
              <w:rPr>
                <w:rFonts w:ascii="Arial" w:hAnsi="Arial"/>
                <w:b/>
                <w:sz w:val="18"/>
              </w:rPr>
            </w:pPr>
            <w:r w:rsidRPr="000B17C5">
              <w:rPr>
                <w:rFonts w:ascii="Arial" w:eastAsia="Arial" w:hAnsi="Arial" w:cs="Arial"/>
                <w:b/>
                <w:sz w:val="18"/>
                <w:lang w:bidi="en-GB"/>
              </w:rPr>
              <w:t>1</w:t>
            </w:r>
            <w:r w:rsidRPr="000B17C5">
              <w:rPr>
                <w:rFonts w:ascii="Arial" w:eastAsia="Arial" w:hAnsi="Arial" w:cs="Arial"/>
                <w:b/>
                <w:sz w:val="18"/>
                <w:lang w:bidi="en-GB"/>
              </w:rPr>
              <w:tab/>
              <w:t xml:space="preserve">Scope of cover </w:t>
            </w:r>
          </w:p>
          <w:p w14:paraId="78A4EF24" w14:textId="77777777" w:rsidR="00F71658" w:rsidRPr="000B17C5" w:rsidRDefault="00702A32" w:rsidP="00D61851">
            <w:pPr>
              <w:tabs>
                <w:tab w:val="left" w:pos="567"/>
                <w:tab w:val="left" w:pos="709"/>
                <w:tab w:val="left" w:pos="851"/>
              </w:tabs>
              <w:ind w:left="709" w:hanging="709"/>
              <w:rPr>
                <w:rFonts w:ascii="Arial" w:hAnsi="Arial"/>
                <w:b/>
                <w:sz w:val="18"/>
              </w:rPr>
            </w:pPr>
            <w:r w:rsidRPr="000B17C5">
              <w:rPr>
                <w:rFonts w:ascii="Arial" w:eastAsia="Arial" w:hAnsi="Arial" w:cs="Arial"/>
                <w:b/>
                <w:sz w:val="18"/>
                <w:lang w:bidi="en-GB"/>
              </w:rPr>
              <w:t>2</w:t>
            </w:r>
            <w:r w:rsidRPr="000B17C5">
              <w:rPr>
                <w:rFonts w:ascii="Arial" w:eastAsia="Arial" w:hAnsi="Arial" w:cs="Arial"/>
                <w:b/>
                <w:sz w:val="18"/>
                <w:lang w:bidi="en-GB"/>
              </w:rPr>
              <w:tab/>
              <w:t>Exclusions</w:t>
            </w:r>
          </w:p>
          <w:p w14:paraId="6A773E1F" w14:textId="77777777" w:rsidR="00F71658" w:rsidRPr="000B17C5" w:rsidRDefault="007B6B88" w:rsidP="00D61851">
            <w:pPr>
              <w:tabs>
                <w:tab w:val="left" w:pos="567"/>
              </w:tabs>
              <w:ind w:left="567" w:hanging="567"/>
              <w:jc w:val="both"/>
              <w:rPr>
                <w:rFonts w:ascii="Arial" w:hAnsi="Arial"/>
                <w:b/>
                <w:sz w:val="18"/>
              </w:rPr>
            </w:pPr>
            <w:r w:rsidRPr="000B17C5">
              <w:rPr>
                <w:rFonts w:ascii="Arial" w:eastAsia="Arial" w:hAnsi="Arial" w:cs="Arial"/>
                <w:b/>
                <w:sz w:val="18"/>
                <w:lang w:bidi="en-GB"/>
              </w:rPr>
              <w:t>3</w:t>
            </w:r>
            <w:r w:rsidRPr="000B17C5">
              <w:rPr>
                <w:rFonts w:ascii="Arial" w:eastAsia="Arial" w:hAnsi="Arial" w:cs="Arial"/>
                <w:b/>
                <w:sz w:val="18"/>
                <w:lang w:bidi="en-GB"/>
              </w:rPr>
              <w:tab/>
              <w:t>Commencement and termination of insurance in the case of marine transport</w:t>
            </w:r>
          </w:p>
          <w:p w14:paraId="7B9729D0" w14:textId="77777777" w:rsidR="00F71658" w:rsidRPr="000B17C5" w:rsidRDefault="007B6B88" w:rsidP="00D61851">
            <w:pPr>
              <w:tabs>
                <w:tab w:val="left" w:pos="567"/>
                <w:tab w:val="left" w:pos="709"/>
                <w:tab w:val="left" w:pos="851"/>
              </w:tabs>
              <w:ind w:left="709" w:hanging="709"/>
              <w:rPr>
                <w:rFonts w:ascii="Arial" w:hAnsi="Arial"/>
                <w:b/>
                <w:sz w:val="18"/>
              </w:rPr>
            </w:pPr>
            <w:r w:rsidRPr="000B17C5">
              <w:rPr>
                <w:rFonts w:ascii="Arial" w:eastAsia="Arial" w:hAnsi="Arial" w:cs="Arial"/>
                <w:b/>
                <w:sz w:val="18"/>
                <w:lang w:bidi="en-GB"/>
              </w:rPr>
              <w:t>4</w:t>
            </w:r>
            <w:r w:rsidRPr="000B17C5">
              <w:rPr>
                <w:rFonts w:ascii="Arial" w:eastAsia="Arial" w:hAnsi="Arial" w:cs="Arial"/>
                <w:b/>
                <w:sz w:val="18"/>
                <w:lang w:bidi="en-GB"/>
              </w:rPr>
              <w:tab/>
              <w:t>Change of voyage</w:t>
            </w:r>
          </w:p>
          <w:p w14:paraId="712C08BF" w14:textId="77777777" w:rsidR="007B6B88" w:rsidRPr="000B17C5" w:rsidRDefault="007B6B88" w:rsidP="00D61851">
            <w:pPr>
              <w:tabs>
                <w:tab w:val="left" w:pos="567"/>
              </w:tabs>
              <w:jc w:val="both"/>
              <w:rPr>
                <w:rFonts w:ascii="Arial" w:hAnsi="Arial"/>
                <w:sz w:val="18"/>
              </w:rPr>
            </w:pPr>
          </w:p>
        </w:tc>
        <w:tc>
          <w:tcPr>
            <w:tcW w:w="2501" w:type="pct"/>
            <w:tcBorders>
              <w:top w:val="nil"/>
              <w:left w:val="nil"/>
            </w:tcBorders>
          </w:tcPr>
          <w:p w14:paraId="4DCB9365" w14:textId="77777777" w:rsidR="00221938" w:rsidRPr="000B17C5" w:rsidRDefault="00702A32" w:rsidP="007C5C90">
            <w:pPr>
              <w:tabs>
                <w:tab w:val="left" w:pos="746"/>
                <w:tab w:val="left" w:pos="887"/>
              </w:tabs>
              <w:ind w:left="746" w:hanging="567"/>
              <w:jc w:val="both"/>
              <w:rPr>
                <w:rFonts w:ascii="Arial" w:hAnsi="Arial"/>
                <w:b/>
                <w:sz w:val="18"/>
              </w:rPr>
            </w:pPr>
            <w:r w:rsidRPr="000B17C5">
              <w:rPr>
                <w:rFonts w:ascii="Arial" w:eastAsia="Arial" w:hAnsi="Arial" w:cs="Arial"/>
                <w:b/>
                <w:sz w:val="18"/>
                <w:lang w:bidi="en-GB"/>
              </w:rPr>
              <w:t>5</w:t>
            </w:r>
            <w:r w:rsidRPr="000B17C5">
              <w:rPr>
                <w:rFonts w:ascii="Arial" w:eastAsia="Arial" w:hAnsi="Arial" w:cs="Arial"/>
                <w:b/>
                <w:sz w:val="18"/>
                <w:lang w:bidi="en-GB"/>
              </w:rPr>
              <w:tab/>
              <w:t>Cancellation</w:t>
            </w:r>
          </w:p>
          <w:p w14:paraId="6C20722F" w14:textId="1FA66709" w:rsidR="007C5C90" w:rsidRPr="000B17C5" w:rsidRDefault="007B6B88" w:rsidP="007C5C90">
            <w:pPr>
              <w:tabs>
                <w:tab w:val="left" w:pos="746"/>
                <w:tab w:val="left" w:pos="887"/>
              </w:tabs>
              <w:ind w:left="746" w:hanging="567"/>
              <w:jc w:val="both"/>
              <w:rPr>
                <w:rFonts w:ascii="Arial" w:hAnsi="Arial"/>
                <w:b/>
                <w:sz w:val="18"/>
              </w:rPr>
            </w:pPr>
            <w:r w:rsidRPr="000B17C5">
              <w:rPr>
                <w:rFonts w:ascii="Arial" w:eastAsia="Arial" w:hAnsi="Arial" w:cs="Arial"/>
                <w:b/>
                <w:sz w:val="18"/>
                <w:lang w:bidi="en-GB"/>
              </w:rPr>
              <w:t>6</w:t>
            </w:r>
            <w:r w:rsidRPr="000B17C5">
              <w:rPr>
                <w:rFonts w:ascii="Arial" w:eastAsia="Arial" w:hAnsi="Arial" w:cs="Arial"/>
                <w:b/>
                <w:sz w:val="18"/>
                <w:lang w:bidi="en-GB"/>
              </w:rPr>
              <w:tab/>
              <w:t>Automatic reinstatement of cover</w:t>
            </w:r>
          </w:p>
          <w:p w14:paraId="789C2889" w14:textId="5D8CE626" w:rsidR="007B6B88" w:rsidRPr="000B17C5" w:rsidRDefault="007C5C90" w:rsidP="00946552">
            <w:pPr>
              <w:tabs>
                <w:tab w:val="left" w:pos="746"/>
                <w:tab w:val="left" w:pos="887"/>
              </w:tabs>
              <w:ind w:left="746" w:hanging="567"/>
              <w:jc w:val="both"/>
              <w:rPr>
                <w:rFonts w:ascii="Arial" w:hAnsi="Arial"/>
                <w:b/>
                <w:sz w:val="18"/>
              </w:rPr>
            </w:pPr>
            <w:r w:rsidRPr="000B17C5">
              <w:rPr>
                <w:rFonts w:ascii="Arial" w:eastAsia="Arial" w:hAnsi="Arial" w:cs="Arial"/>
                <w:b/>
                <w:sz w:val="18"/>
                <w:lang w:bidi="en-GB"/>
              </w:rPr>
              <w:t>7</w:t>
            </w:r>
            <w:r w:rsidRPr="000B17C5">
              <w:rPr>
                <w:rFonts w:ascii="Arial" w:eastAsia="Arial" w:hAnsi="Arial" w:cs="Arial"/>
                <w:b/>
                <w:sz w:val="18"/>
                <w:lang w:bidi="en-GB"/>
              </w:rPr>
              <w:tab/>
              <w:t>Carriage by air</w:t>
            </w:r>
          </w:p>
        </w:tc>
      </w:tr>
    </w:tbl>
    <w:p w14:paraId="43994046" w14:textId="77777777" w:rsidR="00F71658" w:rsidRPr="000B17C5" w:rsidRDefault="00F71658">
      <w:pPr>
        <w:tabs>
          <w:tab w:val="left" w:pos="567"/>
        </w:tabs>
        <w:ind w:left="567" w:hanging="567"/>
        <w:jc w:val="both"/>
        <w:rPr>
          <w:rFonts w:ascii="Arial" w:hAnsi="Arial"/>
          <w:b/>
          <w:sz w:val="18"/>
        </w:rPr>
      </w:pPr>
    </w:p>
    <w:p w14:paraId="69438369" w14:textId="77777777" w:rsidR="00C40E18" w:rsidRPr="000B17C5" w:rsidRDefault="00C40E18">
      <w:pPr>
        <w:tabs>
          <w:tab w:val="left" w:pos="567"/>
        </w:tabs>
        <w:ind w:left="567" w:hanging="567"/>
        <w:jc w:val="both"/>
        <w:rPr>
          <w:rFonts w:ascii="Arial" w:hAnsi="Arial"/>
          <w:b/>
          <w:sz w:val="18"/>
        </w:rPr>
        <w:sectPr w:rsidR="00C40E18" w:rsidRPr="000B17C5" w:rsidSect="00F71658">
          <w:headerReference w:type="even" r:id="rId11"/>
          <w:headerReference w:type="default" r:id="rId12"/>
          <w:footerReference w:type="default" r:id="rId13"/>
          <w:headerReference w:type="first" r:id="rId14"/>
          <w:footerReference w:type="first" r:id="rId15"/>
          <w:endnotePr>
            <w:numFmt w:val="decimal"/>
          </w:endnotePr>
          <w:type w:val="continuous"/>
          <w:pgSz w:w="11907" w:h="16840" w:code="9"/>
          <w:pgMar w:top="1066" w:right="850" w:bottom="567" w:left="850" w:header="357" w:footer="351" w:gutter="0"/>
          <w:pgNumType w:start="1"/>
          <w:cols w:space="737"/>
          <w:noEndnote/>
          <w:titlePg/>
          <w:docGrid w:linePitch="65"/>
        </w:sectPr>
      </w:pPr>
    </w:p>
    <w:p w14:paraId="5E154602" w14:textId="77777777" w:rsidR="00F71658" w:rsidRPr="000B17C5" w:rsidRDefault="007B6B88" w:rsidP="00EE5FE8">
      <w:pPr>
        <w:keepNext/>
        <w:tabs>
          <w:tab w:val="left" w:pos="709"/>
        </w:tabs>
        <w:spacing w:after="100"/>
        <w:ind w:left="709" w:hanging="709"/>
        <w:jc w:val="both"/>
        <w:rPr>
          <w:rFonts w:ascii="Arial" w:hAnsi="Arial"/>
          <w:b/>
          <w:sz w:val="18"/>
        </w:rPr>
      </w:pPr>
      <w:r w:rsidRPr="000B17C5">
        <w:rPr>
          <w:rFonts w:ascii="Arial" w:eastAsia="Arial" w:hAnsi="Arial" w:cs="Arial"/>
          <w:b/>
          <w:sz w:val="18"/>
          <w:lang w:bidi="en-GB"/>
        </w:rPr>
        <w:t>1</w:t>
      </w:r>
      <w:r w:rsidRPr="000B17C5">
        <w:rPr>
          <w:rFonts w:ascii="Arial" w:eastAsia="Arial" w:hAnsi="Arial" w:cs="Arial"/>
          <w:b/>
          <w:sz w:val="18"/>
          <w:lang w:bidi="en-GB"/>
        </w:rPr>
        <w:tab/>
        <w:t>Scope of cover</w:t>
      </w:r>
    </w:p>
    <w:p w14:paraId="712BA605" w14:textId="4D486F52"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1.1</w:t>
      </w:r>
      <w:r w:rsidRPr="000B17C5">
        <w:rPr>
          <w:rFonts w:ascii="Arial" w:eastAsia="Arial" w:hAnsi="Arial" w:cs="Arial"/>
          <w:sz w:val="18"/>
          <w:lang w:bidi="en-GB"/>
        </w:rPr>
        <w:tab/>
        <w:t xml:space="preserve">In accordance with the following provisions and by way of amendment to Clause 2.4.1.1 of DTV Cargo 2000/2011, insurance also extends to loss of or damage to the insured goods exclusively </w:t>
      </w:r>
      <w:proofErr w:type="gramStart"/>
      <w:r w:rsidRPr="000B17C5">
        <w:rPr>
          <w:rFonts w:ascii="Arial" w:eastAsia="Arial" w:hAnsi="Arial" w:cs="Arial"/>
          <w:sz w:val="18"/>
          <w:lang w:bidi="en-GB"/>
        </w:rPr>
        <w:t>with regard to</w:t>
      </w:r>
      <w:proofErr w:type="gramEnd"/>
      <w:r w:rsidRPr="000B17C5">
        <w:rPr>
          <w:rFonts w:ascii="Arial" w:eastAsia="Arial" w:hAnsi="Arial" w:cs="Arial"/>
          <w:sz w:val="18"/>
          <w:lang w:bidi="en-GB"/>
        </w:rPr>
        <w:t xml:space="preserve"> </w:t>
      </w:r>
      <w:r w:rsidR="0086444F" w:rsidRPr="000B17C5">
        <w:rPr>
          <w:rFonts w:ascii="Arial" w:eastAsia="Arial" w:hAnsi="Arial" w:cs="Arial"/>
          <w:sz w:val="18"/>
          <w:lang w:bidi="en-GB"/>
        </w:rPr>
        <w:t xml:space="preserve">carriage by </w:t>
      </w:r>
      <w:r w:rsidRPr="000B17C5">
        <w:rPr>
          <w:rFonts w:ascii="Arial" w:eastAsia="Arial" w:hAnsi="Arial" w:cs="Arial"/>
          <w:sz w:val="18"/>
          <w:lang w:bidi="en-GB"/>
        </w:rPr>
        <w:t xml:space="preserve">sea (Clause 3) or </w:t>
      </w:r>
      <w:r w:rsidR="006963CF" w:rsidRPr="000B17C5">
        <w:rPr>
          <w:rFonts w:ascii="Arial" w:eastAsia="Arial" w:hAnsi="Arial" w:cs="Arial"/>
          <w:sz w:val="18"/>
          <w:lang w:bidi="en-GB"/>
        </w:rPr>
        <w:t xml:space="preserve">by </w:t>
      </w:r>
      <w:r w:rsidRPr="000B17C5">
        <w:rPr>
          <w:rFonts w:ascii="Arial" w:eastAsia="Arial" w:hAnsi="Arial" w:cs="Arial"/>
          <w:sz w:val="18"/>
          <w:lang w:bidi="en-GB"/>
        </w:rPr>
        <w:t>air (Clause 7) caused by</w:t>
      </w:r>
    </w:p>
    <w:p w14:paraId="328D1237"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1.1.1</w:t>
      </w:r>
      <w:r w:rsidRPr="000B17C5">
        <w:rPr>
          <w:rFonts w:ascii="Arial" w:eastAsia="Arial" w:hAnsi="Arial" w:cs="Arial"/>
          <w:sz w:val="18"/>
          <w:lang w:bidi="en-GB"/>
        </w:rPr>
        <w:tab/>
        <w:t xml:space="preserve">war, civil war or warlike events, as well as events arising – irrespective of a state of war – from the hostile use of weapons of war and the presence of derelict weapons of war as a consequence of one of these </w:t>
      </w:r>
      <w:proofErr w:type="gramStart"/>
      <w:r w:rsidRPr="000B17C5">
        <w:rPr>
          <w:rFonts w:ascii="Arial" w:eastAsia="Arial" w:hAnsi="Arial" w:cs="Arial"/>
          <w:sz w:val="18"/>
          <w:lang w:bidi="en-GB"/>
        </w:rPr>
        <w:t>risks;</w:t>
      </w:r>
      <w:proofErr w:type="gramEnd"/>
    </w:p>
    <w:p w14:paraId="6900A052"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1.1.2</w:t>
      </w:r>
      <w:r w:rsidRPr="000B17C5">
        <w:rPr>
          <w:rFonts w:ascii="Arial" w:eastAsia="Arial" w:hAnsi="Arial" w:cs="Arial"/>
          <w:sz w:val="18"/>
          <w:lang w:bidi="en-GB"/>
        </w:rPr>
        <w:tab/>
        <w:t xml:space="preserve">confiscation, capture, seizure, deprivation and other acts of authorities </w:t>
      </w:r>
      <w:proofErr w:type="gramStart"/>
      <w:r w:rsidRPr="000B17C5">
        <w:rPr>
          <w:rFonts w:ascii="Arial" w:eastAsia="Arial" w:hAnsi="Arial" w:cs="Arial"/>
          <w:sz w:val="18"/>
          <w:lang w:bidi="en-GB"/>
        </w:rPr>
        <w:t>as a result of</w:t>
      </w:r>
      <w:proofErr w:type="gramEnd"/>
      <w:r w:rsidRPr="000B17C5">
        <w:rPr>
          <w:rFonts w:ascii="Arial" w:eastAsia="Arial" w:hAnsi="Arial" w:cs="Arial"/>
          <w:sz w:val="18"/>
          <w:lang w:bidi="en-GB"/>
        </w:rPr>
        <w:t xml:space="preserve"> the risks named in Clause 1.1.1.</w:t>
      </w:r>
    </w:p>
    <w:p w14:paraId="5813498C" w14:textId="77777777" w:rsidR="00F71658" w:rsidRPr="000B17C5" w:rsidRDefault="007B6B88" w:rsidP="00EE5FE8">
      <w:pPr>
        <w:keepNext/>
        <w:tabs>
          <w:tab w:val="left" w:pos="709"/>
        </w:tabs>
        <w:spacing w:after="100"/>
        <w:ind w:left="709" w:hanging="709"/>
        <w:jc w:val="both"/>
        <w:rPr>
          <w:rFonts w:ascii="Arial" w:hAnsi="Arial"/>
          <w:b/>
          <w:sz w:val="18"/>
        </w:rPr>
      </w:pPr>
      <w:r w:rsidRPr="000B17C5">
        <w:rPr>
          <w:rFonts w:ascii="Arial" w:eastAsia="Arial" w:hAnsi="Arial" w:cs="Arial"/>
          <w:b/>
          <w:sz w:val="18"/>
          <w:lang w:bidi="en-GB"/>
        </w:rPr>
        <w:t>2</w:t>
      </w:r>
      <w:r w:rsidRPr="000B17C5">
        <w:rPr>
          <w:rFonts w:ascii="Arial" w:eastAsia="Arial" w:hAnsi="Arial" w:cs="Arial"/>
          <w:b/>
          <w:sz w:val="18"/>
          <w:lang w:bidi="en-GB"/>
        </w:rPr>
        <w:tab/>
        <w:t>Exclusions</w:t>
      </w:r>
    </w:p>
    <w:p w14:paraId="76F95EF1" w14:textId="77777777" w:rsidR="00F71658" w:rsidRPr="000B17C5" w:rsidRDefault="007B6B88" w:rsidP="00EE5FE8">
      <w:pPr>
        <w:keepNext/>
        <w:tabs>
          <w:tab w:val="left" w:pos="709"/>
        </w:tabs>
        <w:spacing w:after="100"/>
        <w:ind w:left="709" w:hanging="709"/>
        <w:jc w:val="both"/>
        <w:rPr>
          <w:rFonts w:ascii="Arial" w:hAnsi="Arial"/>
          <w:sz w:val="18"/>
        </w:rPr>
      </w:pPr>
      <w:r w:rsidRPr="000B17C5">
        <w:rPr>
          <w:rFonts w:ascii="Arial" w:eastAsia="Arial" w:hAnsi="Arial" w:cs="Arial"/>
          <w:sz w:val="18"/>
          <w:lang w:bidi="en-GB"/>
        </w:rPr>
        <w:tab/>
        <w:t>The following risks are excluded:</w:t>
      </w:r>
    </w:p>
    <w:p w14:paraId="57BC30A5"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2.1</w:t>
      </w:r>
      <w:r w:rsidRPr="000B17C5">
        <w:rPr>
          <w:rFonts w:ascii="Arial" w:eastAsia="Arial" w:hAnsi="Arial" w:cs="Arial"/>
          <w:sz w:val="18"/>
          <w:lang w:bidi="en-GB"/>
        </w:rPr>
        <w:tab/>
        <w:t xml:space="preserve">loss of or damage to the insured goods resulting from confiscation, capture, seizure, deprivation and other acts of authorities based on laws and regulations in force at the time of commencement of the </w:t>
      </w:r>
      <w:proofErr w:type="gramStart"/>
      <w:r w:rsidRPr="000B17C5">
        <w:rPr>
          <w:rFonts w:ascii="Arial" w:eastAsia="Arial" w:hAnsi="Arial" w:cs="Arial"/>
          <w:sz w:val="18"/>
          <w:lang w:bidi="en-GB"/>
        </w:rPr>
        <w:t>transport;</w:t>
      </w:r>
      <w:proofErr w:type="gramEnd"/>
    </w:p>
    <w:p w14:paraId="69A315C3"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2.2</w:t>
      </w:r>
      <w:r w:rsidRPr="000B17C5">
        <w:rPr>
          <w:rFonts w:ascii="Arial" w:eastAsia="Arial" w:hAnsi="Arial" w:cs="Arial"/>
          <w:sz w:val="18"/>
          <w:lang w:bidi="en-GB"/>
        </w:rPr>
        <w:tab/>
        <w:t>loss of or damage to the insured goods – irrespective of other contributory causes – arising out of the hostile use as well as the existence of</w:t>
      </w:r>
    </w:p>
    <w:p w14:paraId="3086C24B" w14:textId="77777777" w:rsidR="00F71658" w:rsidRPr="000B17C5" w:rsidRDefault="00375623" w:rsidP="00EE5FE8">
      <w:pPr>
        <w:tabs>
          <w:tab w:val="left" w:pos="993"/>
        </w:tabs>
        <w:spacing w:after="100"/>
        <w:ind w:left="993" w:hanging="284"/>
        <w:jc w:val="both"/>
        <w:rPr>
          <w:rFonts w:ascii="Arial" w:hAnsi="Arial"/>
          <w:sz w:val="18"/>
        </w:rPr>
      </w:pPr>
      <w:r w:rsidRPr="000B17C5">
        <w:rPr>
          <w:rFonts w:ascii="Arial" w:eastAsia="Arial" w:hAnsi="Arial" w:cs="Arial"/>
          <w:sz w:val="18"/>
          <w:lang w:bidi="en-GB"/>
        </w:rPr>
        <w:t>-</w:t>
      </w:r>
      <w:r w:rsidRPr="000B17C5">
        <w:rPr>
          <w:rFonts w:ascii="Arial" w:eastAsia="Arial" w:hAnsi="Arial" w:cs="Arial"/>
          <w:sz w:val="18"/>
          <w:lang w:bidi="en-GB"/>
        </w:rPr>
        <w:tab/>
        <w:t>nuclear energy or other ionising radiation or</w:t>
      </w:r>
    </w:p>
    <w:p w14:paraId="3CD872AA" w14:textId="77777777" w:rsidR="00F71658" w:rsidRPr="000B17C5" w:rsidRDefault="00375623" w:rsidP="00EE5FE8">
      <w:pPr>
        <w:tabs>
          <w:tab w:val="left" w:pos="993"/>
        </w:tabs>
        <w:spacing w:after="100"/>
        <w:ind w:left="993" w:hanging="284"/>
        <w:jc w:val="both"/>
        <w:rPr>
          <w:rFonts w:ascii="Arial" w:hAnsi="Arial"/>
          <w:sz w:val="18"/>
        </w:rPr>
      </w:pPr>
      <w:r w:rsidRPr="000B17C5">
        <w:rPr>
          <w:rFonts w:ascii="Arial" w:eastAsia="Arial" w:hAnsi="Arial" w:cs="Arial"/>
          <w:sz w:val="18"/>
          <w:lang w:bidi="en-GB"/>
        </w:rPr>
        <w:t>-</w:t>
      </w:r>
      <w:r w:rsidRPr="000B17C5">
        <w:rPr>
          <w:rFonts w:ascii="Arial" w:eastAsia="Arial" w:hAnsi="Arial" w:cs="Arial"/>
          <w:sz w:val="18"/>
          <w:lang w:bidi="en-GB"/>
        </w:rPr>
        <w:tab/>
        <w:t>chemical, biological, biochemical substances or electromagnetic waves</w:t>
      </w:r>
    </w:p>
    <w:p w14:paraId="56B3BF2B" w14:textId="77777777" w:rsidR="00F71658" w:rsidRPr="000B17C5" w:rsidRDefault="007B6B88" w:rsidP="00EE5FE8">
      <w:pPr>
        <w:tabs>
          <w:tab w:val="left" w:pos="709"/>
          <w:tab w:val="left" w:pos="851"/>
        </w:tabs>
        <w:spacing w:after="100"/>
        <w:ind w:left="1418" w:hanging="709"/>
        <w:jc w:val="both"/>
        <w:rPr>
          <w:rFonts w:ascii="Arial" w:hAnsi="Arial"/>
          <w:sz w:val="18"/>
        </w:rPr>
      </w:pPr>
      <w:r w:rsidRPr="000B17C5">
        <w:rPr>
          <w:rFonts w:ascii="Arial" w:eastAsia="Arial" w:hAnsi="Arial" w:cs="Arial"/>
          <w:sz w:val="18"/>
          <w:lang w:bidi="en-GB"/>
        </w:rPr>
        <w:t xml:space="preserve">as weapons of </w:t>
      </w:r>
      <w:proofErr w:type="gramStart"/>
      <w:r w:rsidRPr="000B17C5">
        <w:rPr>
          <w:rFonts w:ascii="Arial" w:eastAsia="Arial" w:hAnsi="Arial" w:cs="Arial"/>
          <w:sz w:val="18"/>
          <w:lang w:bidi="en-GB"/>
        </w:rPr>
        <w:t>war;</w:t>
      </w:r>
      <w:proofErr w:type="gramEnd"/>
    </w:p>
    <w:p w14:paraId="48B9C58A"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2.3</w:t>
      </w:r>
      <w:r w:rsidRPr="000B17C5">
        <w:rPr>
          <w:rFonts w:ascii="Arial" w:eastAsia="Arial" w:hAnsi="Arial" w:cs="Arial"/>
          <w:sz w:val="18"/>
          <w:lang w:bidi="en-GB"/>
        </w:rPr>
        <w:tab/>
        <w:t xml:space="preserve">costs arising from an insured risk causing the vessel not to commence, to interrupt or not to continue the </w:t>
      </w:r>
      <w:r w:rsidRPr="000B17C5">
        <w:rPr>
          <w:rFonts w:ascii="Arial" w:eastAsia="Arial" w:hAnsi="Arial" w:cs="Arial"/>
          <w:sz w:val="18"/>
          <w:lang w:bidi="en-GB"/>
        </w:rPr>
        <w:t>voyage or to call at a port, or causing the goods to be discharged, stored or forwarded by other means of transport, unless such costs are recoverable as General Average under the York Antwerp Rules.</w:t>
      </w:r>
    </w:p>
    <w:p w14:paraId="19DC0EB6"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2.4</w:t>
      </w:r>
      <w:r w:rsidRPr="000B17C5">
        <w:rPr>
          <w:rFonts w:ascii="Arial" w:eastAsia="Arial" w:hAnsi="Arial" w:cs="Arial"/>
          <w:sz w:val="18"/>
          <w:lang w:bidi="en-GB"/>
        </w:rPr>
        <w:tab/>
        <w:t xml:space="preserve">Unless otherwise agreed, the provisions set down in Clauses 2.4.1.2 to 2.4.1.6 and in Clause 2.5 of DTV Cargo 2000/2011 concerning excluded risks and losses remain unaffected. </w:t>
      </w:r>
    </w:p>
    <w:p w14:paraId="2A2D0BD9" w14:textId="0DE1A36D" w:rsidR="00F71658" w:rsidRPr="000B17C5" w:rsidRDefault="007B6B88" w:rsidP="00EE5FE8">
      <w:pPr>
        <w:tabs>
          <w:tab w:val="left" w:pos="709"/>
        </w:tabs>
        <w:spacing w:after="100"/>
        <w:ind w:left="709" w:hanging="709"/>
        <w:jc w:val="both"/>
        <w:rPr>
          <w:rFonts w:ascii="Arial" w:hAnsi="Arial"/>
          <w:b/>
          <w:sz w:val="18"/>
        </w:rPr>
      </w:pPr>
      <w:r w:rsidRPr="000B17C5">
        <w:rPr>
          <w:rFonts w:ascii="Arial" w:eastAsia="Arial" w:hAnsi="Arial" w:cs="Arial"/>
          <w:b/>
          <w:sz w:val="18"/>
          <w:lang w:bidi="en-GB"/>
        </w:rPr>
        <w:t>3</w:t>
      </w:r>
      <w:r w:rsidRPr="000B17C5">
        <w:rPr>
          <w:rFonts w:ascii="Arial" w:eastAsia="Arial" w:hAnsi="Arial" w:cs="Arial"/>
          <w:b/>
          <w:sz w:val="18"/>
          <w:lang w:bidi="en-GB"/>
        </w:rPr>
        <w:tab/>
        <w:t xml:space="preserve">Commencement and termination of insurance in the case of </w:t>
      </w:r>
      <w:r w:rsidR="0086444F" w:rsidRPr="000B17C5">
        <w:rPr>
          <w:rFonts w:ascii="Arial" w:eastAsia="Arial" w:hAnsi="Arial" w:cs="Arial"/>
          <w:b/>
          <w:sz w:val="18"/>
          <w:lang w:bidi="en-GB"/>
        </w:rPr>
        <w:t>carriage by sea</w:t>
      </w:r>
    </w:p>
    <w:p w14:paraId="1D2C525C"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3.1</w:t>
      </w:r>
      <w:r w:rsidRPr="000B17C5">
        <w:rPr>
          <w:rFonts w:ascii="Arial" w:eastAsia="Arial" w:hAnsi="Arial" w:cs="Arial"/>
          <w:sz w:val="18"/>
          <w:lang w:bidi="en-GB"/>
        </w:rPr>
        <w:tab/>
        <w:t>The insurance against the risks named in Clause 1 commences as soon as the goods are on board the ocean-going vessel for the insured voyage.</w:t>
      </w:r>
    </w:p>
    <w:p w14:paraId="486054AF"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3.2</w:t>
      </w:r>
      <w:r w:rsidRPr="000B17C5">
        <w:rPr>
          <w:rFonts w:ascii="Arial" w:eastAsia="Arial" w:hAnsi="Arial" w:cs="Arial"/>
          <w:sz w:val="18"/>
          <w:lang w:bidi="en-GB"/>
        </w:rPr>
        <w:tab/>
        <w:t>The insurance terminates as soon as the goods have been discharged from the ocean-going vessel at the port of destination, and for any undischarged goods not later than ....... days after the arrival of the ocean-going vessel at the port of destination.</w:t>
      </w:r>
    </w:p>
    <w:p w14:paraId="329D9F6F"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3.3</w:t>
      </w:r>
      <w:r w:rsidRPr="000B17C5">
        <w:rPr>
          <w:rFonts w:ascii="Arial" w:eastAsia="Arial" w:hAnsi="Arial" w:cs="Arial"/>
          <w:sz w:val="18"/>
          <w:lang w:bidi="en-GB"/>
        </w:rPr>
        <w:tab/>
        <w:t>If the ocean-going vessel sails from the port of destination without having discharged the goods, the insurance recommences when the vessel sails again. The Insurer shall be informed without undue delay of any such further voyage and an additional premium to be agreed shall be paid.</w:t>
      </w:r>
    </w:p>
    <w:p w14:paraId="63FA2157"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3.4</w:t>
      </w:r>
      <w:r w:rsidRPr="000B17C5">
        <w:rPr>
          <w:rFonts w:ascii="Arial" w:eastAsia="Arial" w:hAnsi="Arial" w:cs="Arial"/>
          <w:sz w:val="18"/>
          <w:lang w:bidi="en-GB"/>
        </w:rPr>
        <w:tab/>
        <w:t>If the contract of affreightment is terminated at a place other than the destination named therein, such other place is deemed the port of destination.</w:t>
      </w:r>
    </w:p>
    <w:p w14:paraId="0DDDF368" w14:textId="56515281" w:rsidR="00F71658" w:rsidRPr="000B17C5" w:rsidRDefault="007B6B88" w:rsidP="00EE5FE8">
      <w:pPr>
        <w:tabs>
          <w:tab w:val="left" w:pos="709"/>
        </w:tabs>
        <w:spacing w:after="100"/>
        <w:ind w:left="709"/>
        <w:jc w:val="both"/>
        <w:rPr>
          <w:rFonts w:ascii="Arial" w:hAnsi="Arial"/>
          <w:sz w:val="18"/>
        </w:rPr>
      </w:pPr>
      <w:r w:rsidRPr="000B17C5">
        <w:rPr>
          <w:rFonts w:ascii="Arial" w:eastAsia="Arial" w:hAnsi="Arial" w:cs="Arial"/>
          <w:sz w:val="18"/>
          <w:lang w:bidi="en-GB"/>
        </w:rPr>
        <w:t xml:space="preserve">If, however, the goods are subsequently transported to the destination named in the contract of affreightment or to any other destination, such further voyage is insured provided notice is given prior to its commencement and an additional premium is paid. Failure, for reasons beyond the Insured’s control, to </w:t>
      </w:r>
      <w:r w:rsidRPr="000B17C5">
        <w:rPr>
          <w:rFonts w:ascii="Arial" w:eastAsia="Arial" w:hAnsi="Arial" w:cs="Arial"/>
          <w:sz w:val="18"/>
          <w:lang w:bidi="en-GB"/>
        </w:rPr>
        <w:lastRenderedPageBreak/>
        <w:t>give the required notice does not prejudice the cover for such further voyage.</w:t>
      </w:r>
    </w:p>
    <w:p w14:paraId="16CF865F" w14:textId="0552C0D8" w:rsidR="00F71658" w:rsidRPr="000B17C5" w:rsidRDefault="007B6B88" w:rsidP="00EE5FE8">
      <w:pPr>
        <w:tabs>
          <w:tab w:val="left" w:pos="709"/>
        </w:tabs>
        <w:spacing w:after="100"/>
        <w:ind w:left="709"/>
        <w:jc w:val="both"/>
        <w:rPr>
          <w:rFonts w:ascii="Arial" w:hAnsi="Arial"/>
          <w:sz w:val="18"/>
        </w:rPr>
      </w:pPr>
      <w:r w:rsidRPr="000B17C5">
        <w:rPr>
          <w:rFonts w:ascii="Arial" w:eastAsia="Arial" w:hAnsi="Arial" w:cs="Arial"/>
          <w:sz w:val="18"/>
          <w:lang w:bidi="en-GB"/>
        </w:rPr>
        <w:t>The insurance for such further voyage commences as soon as the goods are on board the respective ocean-going vessel. If the goods were not discharged, the insurance for such further voyage commences as soon as the ocean-going vessel sails.</w:t>
      </w:r>
    </w:p>
    <w:p w14:paraId="326296B8"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3.5</w:t>
      </w:r>
      <w:r w:rsidRPr="000B17C5">
        <w:rPr>
          <w:rFonts w:ascii="Arial" w:eastAsia="Arial" w:hAnsi="Arial" w:cs="Arial"/>
          <w:sz w:val="18"/>
          <w:lang w:bidi="en-GB"/>
        </w:rPr>
        <w:tab/>
        <w:t>If the goods are discharged at an intermediate port or other place for on-carriage by another vessel, the insurance is suspended after the expiry of ...... days from the arrival of the ocean-going vessel at the intermediate port, irrespective of whether the goods are stored on land or on water at the intermediate port or place. The insurance does not recommence until the goods are on board the on-carrying ocean-going vessel.</w:t>
      </w:r>
    </w:p>
    <w:p w14:paraId="0B3CF121"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3.6</w:t>
      </w:r>
      <w:r w:rsidRPr="000B17C5">
        <w:rPr>
          <w:rFonts w:ascii="Arial" w:eastAsia="Arial" w:hAnsi="Arial" w:cs="Arial"/>
          <w:sz w:val="18"/>
          <w:lang w:bidi="en-GB"/>
        </w:rPr>
        <w:tab/>
        <w:t xml:space="preserve">Clause 3.2. applies correspondingly if the insurance is terminated </w:t>
      </w:r>
      <w:proofErr w:type="gramStart"/>
      <w:r w:rsidRPr="000B17C5">
        <w:rPr>
          <w:rFonts w:ascii="Arial" w:eastAsia="Arial" w:hAnsi="Arial" w:cs="Arial"/>
          <w:sz w:val="18"/>
          <w:lang w:bidi="en-GB"/>
        </w:rPr>
        <w:t>as a result of</w:t>
      </w:r>
      <w:proofErr w:type="gramEnd"/>
      <w:r w:rsidRPr="000B17C5">
        <w:rPr>
          <w:rFonts w:ascii="Arial" w:eastAsia="Arial" w:hAnsi="Arial" w:cs="Arial"/>
          <w:sz w:val="18"/>
          <w:lang w:bidi="en-GB"/>
        </w:rPr>
        <w:t xml:space="preserve"> one of the cases described in Clauses 3.3 to 3.5.</w:t>
      </w:r>
    </w:p>
    <w:p w14:paraId="3BFB4220"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3.7</w:t>
      </w:r>
      <w:r w:rsidRPr="000B17C5">
        <w:rPr>
          <w:rFonts w:ascii="Arial" w:eastAsia="Arial" w:hAnsi="Arial" w:cs="Arial"/>
          <w:sz w:val="18"/>
          <w:lang w:bidi="en-GB"/>
        </w:rPr>
        <w:tab/>
        <w:t>Insurance against risks arising from the hostile use or presence of mines or floating or submerged torpedoes also applies if the goods are on board a craft for conveying such goods to or from an ocean-going vessel. In the case of conveyance from an ocean-going vessel, however, the insurance terminates at the latest after the expiry of ...... days following discharge of the goods from the ocean-going vessel unless expressly otherwise agreed with the Insurer and provided an additional premium has been paid.</w:t>
      </w:r>
    </w:p>
    <w:p w14:paraId="312495E0"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3.8</w:t>
      </w:r>
      <w:r w:rsidRPr="000B17C5">
        <w:rPr>
          <w:rFonts w:ascii="Arial" w:eastAsia="Arial" w:hAnsi="Arial" w:cs="Arial"/>
          <w:sz w:val="18"/>
          <w:lang w:bidi="en-GB"/>
        </w:rPr>
        <w:tab/>
        <w:t>If the goods consist of several lots, the insurance commences and terminates in respect of each part lot in accordance with the above provisions.</w:t>
      </w:r>
    </w:p>
    <w:p w14:paraId="63967A74"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3.9</w:t>
      </w:r>
      <w:r w:rsidRPr="000B17C5">
        <w:rPr>
          <w:rFonts w:ascii="Arial" w:eastAsia="Arial" w:hAnsi="Arial" w:cs="Arial"/>
          <w:sz w:val="18"/>
          <w:lang w:bidi="en-GB"/>
        </w:rPr>
        <w:tab/>
        <w:t>The periods to be agreed in accordance with Clauses 3.2, 3.5 and 3.7 begin at midnight of the day of arrival of the ocean-going vessel.</w:t>
      </w:r>
    </w:p>
    <w:p w14:paraId="1EE4AA4E"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3.10</w:t>
      </w:r>
      <w:r w:rsidRPr="000B17C5">
        <w:rPr>
          <w:rFonts w:ascii="Arial" w:eastAsia="Arial" w:hAnsi="Arial" w:cs="Arial"/>
          <w:sz w:val="18"/>
          <w:lang w:bidi="en-GB"/>
        </w:rPr>
        <w:tab/>
        <w:t xml:space="preserve">For the purpose of this Clause, an ocean-going vessel is defined as a vessel which, while carrying the insured goods, </w:t>
      </w:r>
      <w:proofErr w:type="gramStart"/>
      <w:r w:rsidRPr="000B17C5">
        <w:rPr>
          <w:rFonts w:ascii="Arial" w:eastAsia="Arial" w:hAnsi="Arial" w:cs="Arial"/>
          <w:sz w:val="18"/>
          <w:lang w:bidi="en-GB"/>
        </w:rPr>
        <w:t>has to</w:t>
      </w:r>
      <w:proofErr w:type="gramEnd"/>
      <w:r w:rsidRPr="000B17C5">
        <w:rPr>
          <w:rFonts w:ascii="Arial" w:eastAsia="Arial" w:hAnsi="Arial" w:cs="Arial"/>
          <w:sz w:val="18"/>
          <w:lang w:bidi="en-GB"/>
        </w:rPr>
        <w:t xml:space="preserve"> perform part of its voyage by sea.</w:t>
      </w:r>
    </w:p>
    <w:p w14:paraId="456636F8" w14:textId="15A77A5F" w:rsidR="00F71658" w:rsidRPr="000B17C5" w:rsidRDefault="007B6B88" w:rsidP="00EE5FE8">
      <w:pPr>
        <w:tabs>
          <w:tab w:val="left" w:pos="709"/>
        </w:tabs>
        <w:spacing w:after="100"/>
        <w:ind w:left="709"/>
        <w:jc w:val="both"/>
        <w:rPr>
          <w:rFonts w:ascii="Arial" w:hAnsi="Arial"/>
          <w:sz w:val="18"/>
        </w:rPr>
      </w:pPr>
      <w:r w:rsidRPr="000B17C5">
        <w:rPr>
          <w:rFonts w:ascii="Arial" w:eastAsia="Arial" w:hAnsi="Arial" w:cs="Arial"/>
          <w:sz w:val="18"/>
          <w:lang w:bidi="en-GB"/>
        </w:rPr>
        <w:t>An ocean-going vessel is deemed to have arrived as soon as the vessel is moored, anchored or otherwise secured at a berth or place within the harbour area. If such berth or place is not available there, the vessel is deemed to have arrived as soon as the vessel first moors, anchors or otherwise secures within or off the harbour area.</w:t>
      </w:r>
    </w:p>
    <w:p w14:paraId="7D57B09E" w14:textId="77777777" w:rsidR="00F71658" w:rsidRPr="000B17C5" w:rsidRDefault="007B6B88" w:rsidP="00EE5FE8">
      <w:pPr>
        <w:keepNext/>
        <w:tabs>
          <w:tab w:val="left" w:pos="709"/>
        </w:tabs>
        <w:spacing w:after="100"/>
        <w:ind w:left="709" w:hanging="709"/>
        <w:jc w:val="both"/>
        <w:rPr>
          <w:rFonts w:ascii="Arial" w:hAnsi="Arial"/>
          <w:b/>
          <w:sz w:val="18"/>
        </w:rPr>
      </w:pPr>
      <w:r w:rsidRPr="000B17C5">
        <w:rPr>
          <w:rFonts w:ascii="Arial" w:eastAsia="Arial" w:hAnsi="Arial" w:cs="Arial"/>
          <w:b/>
          <w:sz w:val="18"/>
          <w:lang w:bidi="en-GB"/>
        </w:rPr>
        <w:t>4</w:t>
      </w:r>
      <w:r w:rsidRPr="000B17C5">
        <w:rPr>
          <w:rFonts w:ascii="Arial" w:eastAsia="Arial" w:hAnsi="Arial" w:cs="Arial"/>
          <w:b/>
          <w:sz w:val="18"/>
          <w:lang w:bidi="en-GB"/>
        </w:rPr>
        <w:tab/>
        <w:t>Change of voyage</w:t>
      </w:r>
    </w:p>
    <w:p w14:paraId="281F8626" w14:textId="4033B722" w:rsidR="00F71658" w:rsidRPr="000B17C5" w:rsidRDefault="007B6B88" w:rsidP="00EE5FE8">
      <w:pPr>
        <w:tabs>
          <w:tab w:val="left" w:pos="709"/>
        </w:tabs>
        <w:spacing w:after="100"/>
        <w:ind w:left="709"/>
        <w:jc w:val="both"/>
        <w:rPr>
          <w:rFonts w:ascii="Arial" w:hAnsi="Arial"/>
          <w:sz w:val="18"/>
        </w:rPr>
      </w:pPr>
      <w:r w:rsidRPr="000B17C5">
        <w:rPr>
          <w:rFonts w:ascii="Arial" w:eastAsia="Arial" w:hAnsi="Arial" w:cs="Arial"/>
          <w:sz w:val="18"/>
          <w:lang w:bidi="en-GB"/>
        </w:rPr>
        <w:t>The Insurer is entitled to an additional premium to be agreed if the insured risks are increased by a change of voyage.</w:t>
      </w:r>
    </w:p>
    <w:p w14:paraId="5C6A373F" w14:textId="77777777" w:rsidR="00F71658" w:rsidRPr="000B17C5" w:rsidRDefault="007B6B88" w:rsidP="00EE5FE8">
      <w:pPr>
        <w:tabs>
          <w:tab w:val="left" w:pos="709"/>
        </w:tabs>
        <w:spacing w:after="100"/>
        <w:ind w:left="709" w:hanging="709"/>
        <w:jc w:val="both"/>
        <w:rPr>
          <w:rFonts w:ascii="Arial" w:hAnsi="Arial"/>
          <w:b/>
          <w:sz w:val="18"/>
        </w:rPr>
      </w:pPr>
      <w:r w:rsidRPr="000B17C5">
        <w:rPr>
          <w:rFonts w:ascii="Arial" w:eastAsia="Arial" w:hAnsi="Arial" w:cs="Arial"/>
          <w:b/>
          <w:sz w:val="18"/>
          <w:lang w:bidi="en-GB"/>
        </w:rPr>
        <w:t>5</w:t>
      </w:r>
      <w:r w:rsidRPr="000B17C5">
        <w:rPr>
          <w:rFonts w:ascii="Arial" w:eastAsia="Arial" w:hAnsi="Arial" w:cs="Arial"/>
          <w:b/>
          <w:sz w:val="18"/>
          <w:lang w:bidi="en-GB"/>
        </w:rPr>
        <w:tab/>
        <w:t>Cancellation</w:t>
      </w:r>
    </w:p>
    <w:p w14:paraId="71D644C0" w14:textId="7A374043" w:rsidR="00661BD4"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5.1</w:t>
      </w:r>
      <w:r w:rsidRPr="000B17C5">
        <w:rPr>
          <w:rFonts w:ascii="Arial" w:eastAsia="Arial" w:hAnsi="Arial" w:cs="Arial"/>
          <w:sz w:val="18"/>
          <w:lang w:bidi="en-GB"/>
        </w:rPr>
        <w:tab/>
        <w:t xml:space="preserve">Insurance against the risks as </w:t>
      </w:r>
      <w:r w:rsidR="00794295" w:rsidRPr="000B17C5">
        <w:rPr>
          <w:rFonts w:ascii="Arial" w:eastAsia="Arial" w:hAnsi="Arial" w:cs="Arial"/>
          <w:sz w:val="18"/>
          <w:lang w:bidi="en-GB"/>
        </w:rPr>
        <w:t>pursuant to</w:t>
      </w:r>
      <w:r w:rsidRPr="000B17C5">
        <w:rPr>
          <w:rFonts w:ascii="Arial" w:eastAsia="Arial" w:hAnsi="Arial" w:cs="Arial"/>
          <w:sz w:val="18"/>
          <w:lang w:bidi="en-GB"/>
        </w:rPr>
        <w:t xml:space="preserve"> Clause 1 may be cancelled by the Insurer at any time</w:t>
      </w:r>
      <w:r w:rsidR="00794295" w:rsidRPr="000B17C5">
        <w:rPr>
          <w:rFonts w:ascii="Arial" w:eastAsia="Arial" w:hAnsi="Arial" w:cs="Arial"/>
          <w:sz w:val="18"/>
          <w:lang w:bidi="en-GB"/>
        </w:rPr>
        <w:t>, provided</w:t>
      </w:r>
      <w:r w:rsidRPr="000B17C5">
        <w:rPr>
          <w:rFonts w:ascii="Arial" w:eastAsia="Arial" w:hAnsi="Arial" w:cs="Arial"/>
          <w:sz w:val="18"/>
          <w:lang w:bidi="en-GB"/>
        </w:rPr>
        <w:t xml:space="preserve"> </w:t>
      </w:r>
      <w:r w:rsidR="00794295" w:rsidRPr="000B17C5">
        <w:rPr>
          <w:rFonts w:ascii="Arial" w:eastAsia="Arial" w:hAnsi="Arial" w:cs="Arial"/>
          <w:sz w:val="18"/>
          <w:lang w:bidi="en-GB"/>
        </w:rPr>
        <w:t>that</w:t>
      </w:r>
      <w:r w:rsidRPr="000B17C5">
        <w:rPr>
          <w:rFonts w:ascii="Arial" w:eastAsia="Arial" w:hAnsi="Arial" w:cs="Arial"/>
          <w:sz w:val="18"/>
          <w:lang w:bidi="en-GB"/>
        </w:rPr>
        <w:t xml:space="preserve"> written notice in text form (within the meaning of section 126b German Civil Code (BGB)) </w:t>
      </w:r>
      <w:bookmarkStart w:id="0" w:name="_Hlk230687331"/>
      <w:bookmarkStart w:id="1" w:name="_Hlk230700401"/>
      <w:r w:rsidR="00794295" w:rsidRPr="000B17C5">
        <w:rPr>
          <w:rFonts w:ascii="Arial" w:eastAsia="Arial" w:hAnsi="Arial" w:cs="Arial"/>
          <w:sz w:val="18"/>
          <w:lang w:bidi="en-GB"/>
        </w:rPr>
        <w:t xml:space="preserve">is given </w:t>
      </w:r>
      <w:r w:rsidR="00E80799" w:rsidRPr="000B17C5">
        <w:rPr>
          <w:rFonts w:ascii="Arial" w:eastAsia="Arial" w:hAnsi="Arial" w:cs="Arial"/>
          <w:sz w:val="18"/>
          <w:lang w:bidi="en-GB"/>
        </w:rPr>
        <w:t>at least two days prior to the commencement of the insured transport.</w:t>
      </w:r>
      <w:bookmarkEnd w:id="0"/>
    </w:p>
    <w:bookmarkEnd w:id="1"/>
    <w:p w14:paraId="57FFFAC9" w14:textId="6FDB6AC8" w:rsidR="00673332" w:rsidRPr="000B17C5" w:rsidRDefault="00673332" w:rsidP="00673332">
      <w:pPr>
        <w:tabs>
          <w:tab w:val="left" w:pos="709"/>
        </w:tabs>
        <w:spacing w:after="100"/>
        <w:ind w:left="709" w:hanging="709"/>
        <w:jc w:val="both"/>
        <w:rPr>
          <w:rFonts w:ascii="Arial" w:hAnsi="Arial"/>
          <w:sz w:val="18"/>
        </w:rPr>
      </w:pPr>
      <w:r w:rsidRPr="000B17C5">
        <w:rPr>
          <w:rFonts w:ascii="Arial" w:eastAsia="Arial" w:hAnsi="Arial" w:cs="Arial"/>
          <w:sz w:val="18"/>
          <w:lang w:bidi="en-GB"/>
        </w:rPr>
        <w:t>5.1.1</w:t>
      </w:r>
      <w:r w:rsidRPr="000B17C5">
        <w:rPr>
          <w:rFonts w:ascii="Arial" w:eastAsia="Arial" w:hAnsi="Arial" w:cs="Arial"/>
          <w:sz w:val="18"/>
          <w:lang w:bidi="en-GB"/>
        </w:rPr>
        <w:tab/>
      </w:r>
      <w:bookmarkStart w:id="2" w:name="_Hlk230687394"/>
      <w:r w:rsidRPr="000B17C5">
        <w:rPr>
          <w:rFonts w:ascii="Arial" w:eastAsia="Arial" w:hAnsi="Arial" w:cs="Arial"/>
          <w:sz w:val="18"/>
          <w:lang w:bidi="en-GB"/>
        </w:rPr>
        <w:t xml:space="preserve">The cancellation may </w:t>
      </w:r>
      <w:r w:rsidR="00910A2A" w:rsidRPr="000B17C5">
        <w:rPr>
          <w:rFonts w:ascii="Arial" w:eastAsia="Arial" w:hAnsi="Arial" w:cs="Arial"/>
          <w:sz w:val="18"/>
          <w:lang w:bidi="en-GB"/>
        </w:rPr>
        <w:t xml:space="preserve">be limited to parts </w:t>
      </w:r>
      <w:r w:rsidRPr="000B17C5">
        <w:rPr>
          <w:rFonts w:ascii="Arial" w:eastAsia="Arial" w:hAnsi="Arial" w:cs="Arial"/>
          <w:sz w:val="18"/>
          <w:lang w:bidi="en-GB"/>
        </w:rPr>
        <w:t>of the geographical scope of insurance.</w:t>
      </w:r>
      <w:bookmarkEnd w:id="2"/>
    </w:p>
    <w:p w14:paraId="5D5A2FE9" w14:textId="77777777" w:rsidR="00C74107" w:rsidRPr="000B17C5" w:rsidRDefault="00673332" w:rsidP="00C74107">
      <w:pPr>
        <w:tabs>
          <w:tab w:val="left" w:pos="709"/>
        </w:tabs>
        <w:spacing w:after="100"/>
        <w:ind w:left="709" w:hanging="709"/>
        <w:jc w:val="both"/>
        <w:rPr>
          <w:rFonts w:ascii="Arial" w:hAnsi="Arial"/>
          <w:sz w:val="18"/>
        </w:rPr>
      </w:pPr>
      <w:r w:rsidRPr="000B17C5">
        <w:rPr>
          <w:rFonts w:ascii="Arial" w:eastAsia="Arial" w:hAnsi="Arial" w:cs="Arial"/>
          <w:sz w:val="18"/>
          <w:lang w:bidi="en-GB"/>
        </w:rPr>
        <w:t>5.1.1.1</w:t>
      </w:r>
      <w:r w:rsidRPr="000B17C5">
        <w:rPr>
          <w:rFonts w:ascii="Arial" w:eastAsia="Arial" w:hAnsi="Arial" w:cs="Arial"/>
          <w:sz w:val="18"/>
          <w:lang w:bidi="en-GB"/>
        </w:rPr>
        <w:tab/>
      </w:r>
      <w:r w:rsidR="00C74107" w:rsidRPr="000B17C5">
        <w:rPr>
          <w:rFonts w:ascii="Arial" w:eastAsia="Arial" w:hAnsi="Arial" w:cs="Arial"/>
          <w:sz w:val="18"/>
          <w:lang w:bidi="en-GB"/>
        </w:rPr>
        <w:t>Such partial cancellation is restricted to those areas listed in the GCWL* which, at the time notice of cancellation is given:</w:t>
      </w:r>
    </w:p>
    <w:p w14:paraId="67ECED23" w14:textId="77777777" w:rsidR="00C74107" w:rsidRPr="000B17C5" w:rsidRDefault="00C74107" w:rsidP="00C74107">
      <w:pPr>
        <w:pStyle w:val="Listenabsatz"/>
        <w:numPr>
          <w:ilvl w:val="0"/>
          <w:numId w:val="25"/>
        </w:numPr>
        <w:tabs>
          <w:tab w:val="left" w:pos="993"/>
        </w:tabs>
        <w:spacing w:after="100"/>
        <w:ind w:left="993" w:hanging="284"/>
        <w:jc w:val="both"/>
        <w:rPr>
          <w:rFonts w:ascii="Arial" w:hAnsi="Arial"/>
          <w:sz w:val="18"/>
        </w:rPr>
      </w:pPr>
      <w:bookmarkStart w:id="3" w:name="_Hlk216788139"/>
      <w:bookmarkStart w:id="4" w:name="_Hlk216788063"/>
      <w:r w:rsidRPr="000B17C5">
        <w:rPr>
          <w:rFonts w:ascii="Arial" w:eastAsia="Arial" w:hAnsi="Arial" w:cs="Arial"/>
          <w:sz w:val="18"/>
          <w:lang w:bidi="en-GB"/>
        </w:rPr>
        <w:t>under “Geographies”, are assigned a risk level of “severe” or “extreme” in at least one of the “Marine Score” or “Air Score” categories, or</w:t>
      </w:r>
      <w:bookmarkEnd w:id="3"/>
    </w:p>
    <w:p w14:paraId="07523C59" w14:textId="77777777" w:rsidR="00C74107" w:rsidRPr="000B17C5" w:rsidRDefault="00C74107" w:rsidP="00C74107">
      <w:pPr>
        <w:pStyle w:val="Listenabsatz"/>
        <w:numPr>
          <w:ilvl w:val="0"/>
          <w:numId w:val="25"/>
        </w:numPr>
        <w:tabs>
          <w:tab w:val="left" w:pos="993"/>
        </w:tabs>
        <w:spacing w:after="100"/>
        <w:ind w:left="993" w:hanging="284"/>
        <w:jc w:val="both"/>
        <w:rPr>
          <w:rFonts w:ascii="Arial" w:hAnsi="Arial"/>
          <w:sz w:val="18"/>
        </w:rPr>
      </w:pPr>
      <w:bookmarkStart w:id="5" w:name="_Hlk216788077"/>
      <w:r w:rsidRPr="000B17C5">
        <w:rPr>
          <w:rFonts w:ascii="Arial" w:eastAsia="Arial" w:hAnsi="Arial" w:cs="Arial"/>
          <w:sz w:val="18"/>
          <w:lang w:bidi="en-GB"/>
        </w:rPr>
        <w:t xml:space="preserve">under “Defined Areas”, are assigned a </w:t>
      </w:r>
      <w:bookmarkStart w:id="6" w:name="_Hlk178760096"/>
      <w:r w:rsidRPr="000B17C5">
        <w:rPr>
          <w:rFonts w:ascii="Arial" w:eastAsia="Arial" w:hAnsi="Arial" w:cs="Arial"/>
          <w:sz w:val="18"/>
          <w:lang w:bidi="en-GB"/>
        </w:rPr>
        <w:t>risk level of “severe” or “extreme”</w:t>
      </w:r>
      <w:bookmarkEnd w:id="6"/>
      <w:r w:rsidRPr="000B17C5">
        <w:rPr>
          <w:rFonts w:ascii="Arial" w:eastAsia="Arial" w:hAnsi="Arial" w:cs="Arial"/>
          <w:sz w:val="18"/>
          <w:lang w:bidi="en-GB"/>
        </w:rPr>
        <w:t>.</w:t>
      </w:r>
    </w:p>
    <w:p w14:paraId="78E1D3A2" w14:textId="77777777" w:rsidR="00C74107" w:rsidRPr="000B17C5" w:rsidRDefault="00C74107" w:rsidP="00C74107">
      <w:pPr>
        <w:tabs>
          <w:tab w:val="left" w:pos="709"/>
        </w:tabs>
        <w:spacing w:after="100"/>
        <w:ind w:left="709"/>
        <w:jc w:val="both"/>
        <w:rPr>
          <w:rFonts w:ascii="Arial" w:hAnsi="Arial"/>
          <w:sz w:val="18"/>
        </w:rPr>
      </w:pPr>
      <w:r w:rsidRPr="000B17C5">
        <w:rPr>
          <w:rFonts w:ascii="Arial" w:hAnsi="Arial"/>
          <w:sz w:val="18"/>
        </w:rPr>
        <w:t>The designations of the categories and risk levels for marine and air transport risks in the GCWL apply in the version current at the time the contract is concluded. If these designations change in later versions of the GCWL, the new designations shall be treated as equivalent for the purposes of this contract.</w:t>
      </w:r>
    </w:p>
    <w:bookmarkEnd w:id="4"/>
    <w:bookmarkEnd w:id="5"/>
    <w:p w14:paraId="33DFAD8D" w14:textId="0A80DBA0" w:rsidR="00673332" w:rsidRPr="000B17C5" w:rsidRDefault="00673332" w:rsidP="00C74107">
      <w:pPr>
        <w:tabs>
          <w:tab w:val="left" w:pos="709"/>
        </w:tabs>
        <w:spacing w:after="100"/>
        <w:ind w:left="709" w:hanging="709"/>
        <w:jc w:val="both"/>
        <w:rPr>
          <w:rFonts w:ascii="Arial" w:hAnsi="Arial"/>
          <w:sz w:val="18"/>
        </w:rPr>
      </w:pPr>
      <w:r w:rsidRPr="000B17C5">
        <w:rPr>
          <w:rFonts w:ascii="Arial" w:eastAsia="Arial" w:hAnsi="Arial" w:cs="Arial"/>
          <w:sz w:val="18"/>
          <w:lang w:bidi="en-GB"/>
        </w:rPr>
        <w:t>5.1.1.2</w:t>
      </w:r>
      <w:r w:rsidRPr="000B17C5">
        <w:rPr>
          <w:rFonts w:ascii="Arial" w:eastAsia="Arial" w:hAnsi="Arial" w:cs="Arial"/>
          <w:sz w:val="18"/>
          <w:lang w:bidi="en-GB"/>
        </w:rPr>
        <w:tab/>
      </w:r>
      <w:bookmarkStart w:id="7" w:name="_Hlk230687916"/>
      <w:r w:rsidRPr="000B17C5">
        <w:rPr>
          <w:rFonts w:ascii="Arial" w:eastAsia="Arial" w:hAnsi="Arial" w:cs="Arial"/>
          <w:sz w:val="18"/>
          <w:lang w:bidi="en-GB"/>
        </w:rPr>
        <w:t xml:space="preserve">In addition to Clause 5.1.1.1, the cancellation may also extend to </w:t>
      </w:r>
      <w:r w:rsidR="00910A2A" w:rsidRPr="000B17C5">
        <w:rPr>
          <w:rFonts w:ascii="Arial" w:eastAsia="Arial" w:hAnsi="Arial" w:cs="Arial"/>
          <w:sz w:val="18"/>
          <w:lang w:bidi="en-GB"/>
        </w:rPr>
        <w:t>further</w:t>
      </w:r>
      <w:r w:rsidRPr="000B17C5">
        <w:rPr>
          <w:rFonts w:ascii="Arial" w:eastAsia="Arial" w:hAnsi="Arial" w:cs="Arial"/>
          <w:sz w:val="18"/>
          <w:lang w:bidi="en-GB"/>
        </w:rPr>
        <w:t xml:space="preserve"> parts of the geographical scope of insurance</w:t>
      </w:r>
      <w:r w:rsidR="00910A2A" w:rsidRPr="000B17C5">
        <w:rPr>
          <w:rFonts w:ascii="Arial" w:eastAsia="Arial" w:hAnsi="Arial" w:cs="Arial"/>
          <w:sz w:val="18"/>
          <w:lang w:bidi="en-GB"/>
        </w:rPr>
        <w:t xml:space="preserve"> </w:t>
      </w:r>
      <w:r w:rsidRPr="000B17C5">
        <w:rPr>
          <w:rFonts w:ascii="Arial" w:eastAsia="Arial" w:hAnsi="Arial" w:cs="Arial"/>
          <w:sz w:val="18"/>
          <w:lang w:bidi="en-GB"/>
        </w:rPr>
        <w:t xml:space="preserve">which, due to their </w:t>
      </w:r>
      <w:r w:rsidR="00910A2A" w:rsidRPr="000B17C5">
        <w:rPr>
          <w:rFonts w:ascii="Arial" w:eastAsia="Arial" w:hAnsi="Arial" w:cs="Arial"/>
          <w:sz w:val="18"/>
          <w:lang w:bidi="en-GB"/>
        </w:rPr>
        <w:t>proximity</w:t>
      </w:r>
      <w:r w:rsidRPr="000B17C5">
        <w:rPr>
          <w:rFonts w:ascii="Arial" w:eastAsia="Arial" w:hAnsi="Arial" w:cs="Arial"/>
          <w:sz w:val="18"/>
          <w:lang w:bidi="en-GB"/>
        </w:rPr>
        <w:t xml:space="preserve"> to an area </w:t>
      </w:r>
      <w:r w:rsidR="00910A2A" w:rsidRPr="000B17C5">
        <w:rPr>
          <w:rFonts w:ascii="Arial" w:eastAsia="Arial" w:hAnsi="Arial" w:cs="Arial"/>
          <w:sz w:val="18"/>
          <w:lang w:bidi="en-GB"/>
        </w:rPr>
        <w:t>pursuant to</w:t>
      </w:r>
      <w:r w:rsidRPr="000B17C5">
        <w:rPr>
          <w:rFonts w:ascii="Arial" w:eastAsia="Arial" w:hAnsi="Arial" w:cs="Arial"/>
          <w:sz w:val="18"/>
          <w:lang w:bidi="en-GB"/>
        </w:rPr>
        <w:t xml:space="preserve"> Clause 5.1.1.1, </w:t>
      </w:r>
      <w:r w:rsidR="00910A2A" w:rsidRPr="000B17C5">
        <w:rPr>
          <w:rFonts w:ascii="Arial" w:eastAsia="Arial" w:hAnsi="Arial" w:cs="Arial"/>
          <w:sz w:val="18"/>
          <w:lang w:bidi="en-GB"/>
        </w:rPr>
        <w:t>involve</w:t>
      </w:r>
      <w:r w:rsidRPr="000B17C5">
        <w:rPr>
          <w:rFonts w:ascii="Arial" w:eastAsia="Arial" w:hAnsi="Arial" w:cs="Arial"/>
          <w:sz w:val="18"/>
          <w:lang w:bidi="en-GB"/>
        </w:rPr>
        <w:t xml:space="preserve"> an increased risk. The </w:t>
      </w:r>
      <w:r w:rsidR="00910A2A" w:rsidRPr="000B17C5">
        <w:rPr>
          <w:rFonts w:ascii="Arial" w:eastAsia="Arial" w:hAnsi="Arial" w:cs="Arial"/>
          <w:sz w:val="18"/>
          <w:lang w:bidi="en-GB"/>
        </w:rPr>
        <w:t xml:space="preserve">determination of such proximity and increased risk shall be made at the </w:t>
      </w:r>
      <w:r w:rsidRPr="000B17C5">
        <w:rPr>
          <w:rFonts w:ascii="Arial" w:eastAsia="Arial" w:hAnsi="Arial" w:cs="Arial"/>
          <w:sz w:val="18"/>
          <w:lang w:bidi="en-GB"/>
        </w:rPr>
        <w:t>Insurer</w:t>
      </w:r>
      <w:r w:rsidR="00910A2A" w:rsidRPr="000B17C5">
        <w:rPr>
          <w:rFonts w:ascii="Arial" w:eastAsia="Arial" w:hAnsi="Arial" w:cs="Arial"/>
          <w:sz w:val="18"/>
          <w:lang w:bidi="en-GB"/>
        </w:rPr>
        <w:t xml:space="preserve">’s </w:t>
      </w:r>
      <w:r w:rsidR="00997045" w:rsidRPr="000B17C5">
        <w:rPr>
          <w:rFonts w:ascii="Arial" w:eastAsia="Arial" w:hAnsi="Arial" w:cs="Arial"/>
          <w:sz w:val="18"/>
          <w:lang w:bidi="en-GB"/>
        </w:rPr>
        <w:t xml:space="preserve">reasonable </w:t>
      </w:r>
      <w:r w:rsidRPr="000B17C5">
        <w:rPr>
          <w:rFonts w:ascii="Arial" w:eastAsia="Arial" w:hAnsi="Arial" w:cs="Arial"/>
          <w:sz w:val="18"/>
          <w:lang w:bidi="en-GB"/>
        </w:rPr>
        <w:t>discretion.</w:t>
      </w:r>
      <w:bookmarkEnd w:id="7"/>
    </w:p>
    <w:p w14:paraId="2711BA5D" w14:textId="76BBDC12" w:rsidR="00673332" w:rsidRPr="000B17C5" w:rsidRDefault="00673332" w:rsidP="00673332">
      <w:pPr>
        <w:tabs>
          <w:tab w:val="left" w:pos="709"/>
        </w:tabs>
        <w:spacing w:after="100"/>
        <w:ind w:left="709" w:hanging="709"/>
        <w:jc w:val="both"/>
        <w:rPr>
          <w:rFonts w:ascii="Arial" w:hAnsi="Arial"/>
          <w:sz w:val="18"/>
        </w:rPr>
      </w:pPr>
      <w:bookmarkStart w:id="8" w:name="_Hlk216788254"/>
      <w:r w:rsidRPr="000B17C5">
        <w:rPr>
          <w:rFonts w:ascii="Arial" w:eastAsia="Arial" w:hAnsi="Arial" w:cs="Arial"/>
          <w:sz w:val="18"/>
          <w:lang w:bidi="en-GB"/>
        </w:rPr>
        <w:t>5.1.2</w:t>
      </w:r>
      <w:r w:rsidRPr="000B17C5">
        <w:rPr>
          <w:rFonts w:ascii="Arial" w:eastAsia="Arial" w:hAnsi="Arial" w:cs="Arial"/>
          <w:sz w:val="18"/>
          <w:lang w:bidi="en-GB"/>
        </w:rPr>
        <w:tab/>
      </w:r>
      <w:r w:rsidR="0066653F" w:rsidRPr="000B17C5">
        <w:rPr>
          <w:rFonts w:ascii="Arial" w:eastAsia="Arial" w:hAnsi="Arial" w:cs="Arial"/>
          <w:sz w:val="18"/>
          <w:lang w:bidi="en-GB"/>
        </w:rPr>
        <w:t>As an alternative</w:t>
      </w:r>
      <w:r w:rsidRPr="000B17C5">
        <w:rPr>
          <w:rFonts w:ascii="Arial" w:eastAsia="Arial" w:hAnsi="Arial" w:cs="Arial"/>
          <w:sz w:val="18"/>
          <w:lang w:bidi="en-GB"/>
        </w:rPr>
        <w:t xml:space="preserve"> to Clause 5.1.1, the cancellation may extend to the entire geographical scope of insurance.</w:t>
      </w:r>
    </w:p>
    <w:bookmarkEnd w:id="8"/>
    <w:p w14:paraId="76BE3D68" w14:textId="5844FA2A"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5.2</w:t>
      </w:r>
      <w:r w:rsidRPr="000B17C5">
        <w:rPr>
          <w:rFonts w:ascii="Arial" w:eastAsia="Arial" w:hAnsi="Arial" w:cs="Arial"/>
          <w:sz w:val="18"/>
          <w:lang w:bidi="en-GB"/>
        </w:rPr>
        <w:tab/>
        <w:t>Within four weeks of such a cancellation by the Insurer, the Insured may cancel the entire insurance contract by giving one week’s written notice in text form (within the meaning of section 126b German Civil Code (BGB)).</w:t>
      </w:r>
    </w:p>
    <w:p w14:paraId="7B46B577" w14:textId="7AE678F9"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5.3</w:t>
      </w:r>
      <w:r w:rsidRPr="000B17C5">
        <w:rPr>
          <w:rFonts w:ascii="Arial" w:eastAsia="Arial" w:hAnsi="Arial" w:cs="Arial"/>
          <w:sz w:val="18"/>
          <w:lang w:bidi="en-GB"/>
        </w:rPr>
        <w:tab/>
      </w:r>
      <w:bookmarkStart w:id="9" w:name="_Hlk230700722"/>
      <w:r w:rsidRPr="000B17C5">
        <w:rPr>
          <w:rFonts w:ascii="Arial" w:eastAsia="Arial" w:hAnsi="Arial" w:cs="Arial"/>
          <w:sz w:val="18"/>
          <w:lang w:bidi="en-GB"/>
        </w:rPr>
        <w:t xml:space="preserve">The notice of cancellation given by the leading Insurer </w:t>
      </w:r>
      <w:bookmarkStart w:id="10" w:name="_Hlk230688173"/>
      <w:r w:rsidR="0066653F" w:rsidRPr="000B17C5">
        <w:rPr>
          <w:rFonts w:ascii="Arial" w:eastAsia="Arial" w:hAnsi="Arial" w:cs="Arial"/>
          <w:sz w:val="18"/>
          <w:lang w:bidi="en-GB"/>
        </w:rPr>
        <w:t>shall apply correspondingly</w:t>
      </w:r>
      <w:r w:rsidRPr="000B17C5">
        <w:rPr>
          <w:rFonts w:ascii="Arial" w:eastAsia="Arial" w:hAnsi="Arial" w:cs="Arial"/>
          <w:sz w:val="18"/>
          <w:lang w:bidi="en-GB"/>
        </w:rPr>
        <w:t xml:space="preserve"> </w:t>
      </w:r>
      <w:bookmarkEnd w:id="10"/>
      <w:r w:rsidRPr="000B17C5">
        <w:rPr>
          <w:rFonts w:ascii="Arial" w:eastAsia="Arial" w:hAnsi="Arial" w:cs="Arial"/>
          <w:sz w:val="18"/>
          <w:lang w:bidi="en-GB"/>
        </w:rPr>
        <w:t>to all Co-Insurers</w:t>
      </w:r>
      <w:bookmarkEnd w:id="9"/>
      <w:r w:rsidRPr="000B17C5">
        <w:rPr>
          <w:rFonts w:ascii="Arial" w:eastAsia="Arial" w:hAnsi="Arial" w:cs="Arial"/>
          <w:sz w:val="18"/>
          <w:lang w:bidi="en-GB"/>
        </w:rPr>
        <w:t>.</w:t>
      </w:r>
    </w:p>
    <w:p w14:paraId="1E016B6E" w14:textId="77777777" w:rsidR="00673332" w:rsidRPr="000B17C5" w:rsidRDefault="00673332" w:rsidP="00673332">
      <w:pPr>
        <w:tabs>
          <w:tab w:val="left" w:pos="709"/>
        </w:tabs>
        <w:spacing w:after="100"/>
        <w:ind w:left="709" w:hanging="709"/>
        <w:jc w:val="both"/>
        <w:rPr>
          <w:rFonts w:ascii="Arial" w:hAnsi="Arial"/>
          <w:sz w:val="18"/>
        </w:rPr>
      </w:pPr>
      <w:r w:rsidRPr="000B17C5">
        <w:rPr>
          <w:rFonts w:ascii="Arial" w:eastAsia="Arial" w:hAnsi="Arial" w:cs="Arial"/>
          <w:b/>
          <w:sz w:val="18"/>
          <w:lang w:bidi="en-GB"/>
        </w:rPr>
        <w:t>6</w:t>
      </w:r>
      <w:r w:rsidRPr="000B17C5">
        <w:rPr>
          <w:rFonts w:ascii="Arial" w:eastAsia="Arial" w:hAnsi="Arial" w:cs="Arial"/>
          <w:b/>
          <w:sz w:val="18"/>
          <w:lang w:bidi="en-GB"/>
        </w:rPr>
        <w:tab/>
        <w:t xml:space="preserve">Automatic reinstatement of cover </w:t>
      </w:r>
    </w:p>
    <w:p w14:paraId="378323CB" w14:textId="3024DB52" w:rsidR="00673332" w:rsidRPr="000B17C5" w:rsidRDefault="00673332" w:rsidP="00673332">
      <w:pPr>
        <w:tabs>
          <w:tab w:val="left" w:pos="709"/>
        </w:tabs>
        <w:spacing w:after="100"/>
        <w:ind w:left="709"/>
        <w:jc w:val="both"/>
        <w:rPr>
          <w:rFonts w:ascii="Arial" w:hAnsi="Arial"/>
          <w:sz w:val="18"/>
        </w:rPr>
      </w:pPr>
      <w:bookmarkStart w:id="11" w:name="_Hlk216788621"/>
      <w:bookmarkStart w:id="12" w:name="_Hlk230688070"/>
      <w:r w:rsidRPr="000B17C5">
        <w:rPr>
          <w:rFonts w:ascii="Arial" w:eastAsia="Arial" w:hAnsi="Arial" w:cs="Arial"/>
          <w:sz w:val="18"/>
          <w:lang w:bidi="en-GB"/>
        </w:rPr>
        <w:t xml:space="preserve">Where insurance cover for part of the geographical scope of insurance has been cancelled </w:t>
      </w:r>
      <w:r w:rsidR="0066653F" w:rsidRPr="000B17C5">
        <w:rPr>
          <w:rFonts w:ascii="Arial" w:eastAsia="Arial" w:hAnsi="Arial" w:cs="Arial"/>
          <w:sz w:val="18"/>
          <w:lang w:bidi="en-GB"/>
        </w:rPr>
        <w:t xml:space="preserve">pursuant to </w:t>
      </w:r>
      <w:r w:rsidRPr="000B17C5">
        <w:rPr>
          <w:rFonts w:ascii="Arial" w:eastAsia="Arial" w:hAnsi="Arial" w:cs="Arial"/>
          <w:sz w:val="18"/>
          <w:lang w:bidi="en-GB"/>
        </w:rPr>
        <w:t xml:space="preserve">Clause 5.1.1, cover for that part </w:t>
      </w:r>
      <w:r w:rsidR="0066653F" w:rsidRPr="000B17C5">
        <w:rPr>
          <w:rFonts w:ascii="Arial" w:eastAsia="Arial" w:hAnsi="Arial" w:cs="Arial"/>
          <w:sz w:val="18"/>
          <w:lang w:bidi="en-GB"/>
        </w:rPr>
        <w:t xml:space="preserve">shall be </w:t>
      </w:r>
      <w:r w:rsidRPr="000B17C5">
        <w:rPr>
          <w:rFonts w:ascii="Arial" w:eastAsia="Arial" w:hAnsi="Arial" w:cs="Arial"/>
          <w:sz w:val="18"/>
          <w:lang w:bidi="en-GB"/>
        </w:rPr>
        <w:t xml:space="preserve">reinstated as soon as the </w:t>
      </w:r>
      <w:r w:rsidR="0066653F" w:rsidRPr="000B17C5">
        <w:rPr>
          <w:rFonts w:ascii="Arial" w:eastAsia="Arial" w:hAnsi="Arial" w:cs="Arial"/>
          <w:sz w:val="18"/>
          <w:lang w:bidi="en-GB"/>
        </w:rPr>
        <w:t>relevant</w:t>
      </w:r>
      <w:r w:rsidRPr="000B17C5">
        <w:rPr>
          <w:rFonts w:ascii="Arial" w:eastAsia="Arial" w:hAnsi="Arial" w:cs="Arial"/>
          <w:sz w:val="18"/>
          <w:lang w:bidi="en-GB"/>
        </w:rPr>
        <w:t xml:space="preserve"> area is no longer assigned a risk level of “severe” or “extreme” in the GCWL* under “Geographies” in the “Marine Score” or “Air Score” categories or under “Defined Areas”. This </w:t>
      </w:r>
      <w:r w:rsidR="0066653F" w:rsidRPr="000B17C5">
        <w:rPr>
          <w:rFonts w:ascii="Arial" w:eastAsia="Arial" w:hAnsi="Arial" w:cs="Arial"/>
          <w:sz w:val="18"/>
          <w:lang w:bidi="en-GB"/>
        </w:rPr>
        <w:t xml:space="preserve">reinstatement </w:t>
      </w:r>
      <w:r w:rsidRPr="000B17C5">
        <w:rPr>
          <w:rFonts w:ascii="Arial" w:eastAsia="Arial" w:hAnsi="Arial" w:cs="Arial"/>
          <w:sz w:val="18"/>
          <w:lang w:bidi="en-GB"/>
        </w:rPr>
        <w:t xml:space="preserve">also applies to </w:t>
      </w:r>
      <w:r w:rsidR="0066653F" w:rsidRPr="000B17C5">
        <w:rPr>
          <w:rFonts w:ascii="Arial" w:eastAsia="Arial" w:hAnsi="Arial" w:cs="Arial"/>
          <w:sz w:val="18"/>
          <w:lang w:bidi="en-GB"/>
        </w:rPr>
        <w:t>areas included in the cancellation</w:t>
      </w:r>
      <w:r w:rsidRPr="000B17C5">
        <w:rPr>
          <w:rFonts w:ascii="Arial" w:eastAsia="Arial" w:hAnsi="Arial" w:cs="Arial"/>
          <w:sz w:val="18"/>
          <w:lang w:bidi="en-GB"/>
        </w:rPr>
        <w:t xml:space="preserve"> pursuant to Clause 5.1.1.2. </w:t>
      </w:r>
    </w:p>
    <w:bookmarkEnd w:id="11"/>
    <w:p w14:paraId="3D00EB81" w14:textId="210F28D0" w:rsidR="00673332" w:rsidRPr="000B17C5" w:rsidRDefault="00673332" w:rsidP="00673332">
      <w:pPr>
        <w:tabs>
          <w:tab w:val="left" w:pos="709"/>
        </w:tabs>
        <w:spacing w:after="100"/>
        <w:ind w:left="709"/>
        <w:jc w:val="both"/>
        <w:rPr>
          <w:rFonts w:ascii="Arial" w:hAnsi="Arial"/>
          <w:sz w:val="18"/>
        </w:rPr>
      </w:pPr>
      <w:r w:rsidRPr="000B17C5">
        <w:rPr>
          <w:rFonts w:ascii="Arial" w:eastAsia="Arial" w:hAnsi="Arial" w:cs="Arial"/>
          <w:sz w:val="18"/>
          <w:lang w:bidi="en-GB"/>
        </w:rPr>
        <w:t xml:space="preserve">The Insurer’s right </w:t>
      </w:r>
      <w:r w:rsidR="0066653F" w:rsidRPr="000B17C5">
        <w:rPr>
          <w:rFonts w:ascii="Arial" w:eastAsia="Arial" w:hAnsi="Arial" w:cs="Arial"/>
          <w:sz w:val="18"/>
          <w:lang w:bidi="en-GB"/>
        </w:rPr>
        <w:t xml:space="preserve">to cancel the entire geographical scope of insurance </w:t>
      </w:r>
      <w:r w:rsidRPr="000B17C5">
        <w:rPr>
          <w:rFonts w:ascii="Arial" w:eastAsia="Arial" w:hAnsi="Arial" w:cs="Arial"/>
          <w:sz w:val="18"/>
          <w:lang w:bidi="en-GB"/>
        </w:rPr>
        <w:t xml:space="preserve">pursuant to Clause 5.1.2 remains unaffected.  </w:t>
      </w:r>
    </w:p>
    <w:bookmarkEnd w:id="12"/>
    <w:p w14:paraId="5DE93075" w14:textId="2B415713" w:rsidR="00F71658" w:rsidRPr="000B17C5" w:rsidRDefault="00DA2FCD" w:rsidP="00EE5FE8">
      <w:pPr>
        <w:keepNext/>
        <w:tabs>
          <w:tab w:val="left" w:pos="709"/>
        </w:tabs>
        <w:spacing w:after="100"/>
        <w:ind w:left="709" w:hanging="709"/>
        <w:jc w:val="both"/>
        <w:rPr>
          <w:rFonts w:ascii="Arial" w:hAnsi="Arial"/>
          <w:b/>
          <w:sz w:val="18"/>
        </w:rPr>
      </w:pPr>
      <w:r w:rsidRPr="000B17C5">
        <w:rPr>
          <w:rFonts w:ascii="Arial" w:eastAsia="Arial" w:hAnsi="Arial" w:cs="Arial"/>
          <w:b/>
          <w:sz w:val="18"/>
          <w:lang w:bidi="en-GB"/>
        </w:rPr>
        <w:t>7</w:t>
      </w:r>
      <w:r w:rsidRPr="000B17C5">
        <w:rPr>
          <w:rFonts w:ascii="Arial" w:eastAsia="Arial" w:hAnsi="Arial" w:cs="Arial"/>
          <w:b/>
          <w:sz w:val="18"/>
          <w:lang w:bidi="en-GB"/>
        </w:rPr>
        <w:tab/>
        <w:t>Carriage by air</w:t>
      </w:r>
    </w:p>
    <w:p w14:paraId="55F4F363" w14:textId="77777777" w:rsidR="00F71658" w:rsidRPr="000B17C5" w:rsidRDefault="007B6B88" w:rsidP="00EE5FE8">
      <w:pPr>
        <w:tabs>
          <w:tab w:val="left" w:pos="709"/>
        </w:tabs>
        <w:spacing w:after="100"/>
        <w:ind w:left="709" w:hanging="709"/>
        <w:jc w:val="both"/>
        <w:rPr>
          <w:rFonts w:ascii="Arial" w:hAnsi="Arial"/>
          <w:sz w:val="18"/>
        </w:rPr>
      </w:pPr>
      <w:r w:rsidRPr="000B17C5">
        <w:rPr>
          <w:rFonts w:ascii="Arial" w:eastAsia="Arial" w:hAnsi="Arial" w:cs="Arial"/>
          <w:sz w:val="18"/>
          <w:lang w:bidi="en-GB"/>
        </w:rPr>
        <w:tab/>
        <w:t>The above provisions apply correspondingly to carriage by air.</w:t>
      </w:r>
    </w:p>
    <w:p w14:paraId="4652DCFB" w14:textId="77777777" w:rsidR="00221938" w:rsidRPr="000B17C5" w:rsidRDefault="00221938" w:rsidP="00EE5FE8">
      <w:pPr>
        <w:tabs>
          <w:tab w:val="left" w:pos="709"/>
        </w:tabs>
        <w:ind w:left="709" w:hanging="709"/>
        <w:rPr>
          <w:rFonts w:ascii="Arial" w:hAnsi="Arial"/>
          <w:bCs/>
          <w:strike/>
          <w:sz w:val="18"/>
        </w:rPr>
      </w:pPr>
    </w:p>
    <w:p w14:paraId="712118F8" w14:textId="77777777" w:rsidR="00EE5FE8" w:rsidRPr="000B17C5" w:rsidRDefault="00EE5FE8" w:rsidP="00EE5FE8">
      <w:pPr>
        <w:tabs>
          <w:tab w:val="left" w:pos="709"/>
        </w:tabs>
        <w:ind w:left="709" w:hanging="709"/>
        <w:rPr>
          <w:rFonts w:ascii="Arial" w:hAnsi="Arial"/>
          <w:bCs/>
          <w:strike/>
          <w:sz w:val="18"/>
        </w:rPr>
      </w:pPr>
    </w:p>
    <w:p w14:paraId="6FE87244" w14:textId="5BD95DD6" w:rsidR="00E67DF8" w:rsidRPr="000B17C5" w:rsidRDefault="00AE5553" w:rsidP="00EE5FE8">
      <w:pPr>
        <w:pStyle w:val="Listenabsatz"/>
        <w:numPr>
          <w:ilvl w:val="0"/>
          <w:numId w:val="23"/>
        </w:numPr>
        <w:tabs>
          <w:tab w:val="left" w:pos="709"/>
        </w:tabs>
        <w:ind w:left="709" w:hanging="142"/>
        <w:rPr>
          <w:rFonts w:ascii="Arial" w:hAnsi="Arial" w:cs="Arial"/>
          <w:sz w:val="18"/>
          <w:szCs w:val="18"/>
        </w:rPr>
      </w:pPr>
      <w:bookmarkStart w:id="13" w:name="_Hlk214007442"/>
      <w:r w:rsidRPr="000B17C5">
        <w:rPr>
          <w:rFonts w:ascii="Arial" w:eastAsia="Arial" w:hAnsi="Arial" w:cs="Arial"/>
          <w:sz w:val="18"/>
          <w:szCs w:val="18"/>
          <w:lang w:bidi="en-GB"/>
        </w:rPr>
        <w:t>The GCWL (Global Cargo Watch List) is compiled by the Joint Cargo Committee of Lloyds Market Association (LMA) and the International Underwriting Association (IUA) with the help of S&amp;P Global Market Intelligence. The current list is published at https://watchlists.spglobal.com/watchlists-viewer-public.</w:t>
      </w:r>
      <w:bookmarkEnd w:id="13"/>
    </w:p>
    <w:sectPr w:rsidR="00E67DF8" w:rsidRPr="000B17C5" w:rsidSect="00F71658">
      <w:endnotePr>
        <w:numFmt w:val="decimal"/>
      </w:endnotePr>
      <w:type w:val="continuous"/>
      <w:pgSz w:w="11907" w:h="16840" w:code="9"/>
      <w:pgMar w:top="669" w:right="850" w:bottom="567" w:left="850" w:header="357" w:footer="351" w:gutter="0"/>
      <w:pgNumType w:start="1"/>
      <w:cols w:num="2" w:space="567"/>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A16C" w14:textId="77777777" w:rsidR="00C06B91" w:rsidRDefault="00C06B91">
      <w:pPr>
        <w:spacing w:line="20" w:lineRule="exact"/>
        <w:rPr>
          <w:sz w:val="24"/>
        </w:rPr>
      </w:pPr>
    </w:p>
  </w:endnote>
  <w:endnote w:type="continuationSeparator" w:id="0">
    <w:p w14:paraId="6197F3FD" w14:textId="77777777" w:rsidR="00C06B91" w:rsidRDefault="00C06B91">
      <w:r>
        <w:rPr>
          <w:sz w:val="24"/>
        </w:rPr>
        <w:t xml:space="preserve"> </w:t>
      </w:r>
    </w:p>
  </w:endnote>
  <w:endnote w:type="continuationNotice" w:id="1">
    <w:p w14:paraId="25A806BA" w14:textId="77777777" w:rsidR="00C06B91" w:rsidRDefault="00C06B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BD8B" w14:textId="16FBAC47" w:rsidR="00453BCA" w:rsidRPr="00F71658" w:rsidRDefault="0005438E" w:rsidP="00F71658">
    <w:pPr>
      <w:pStyle w:val="Fuzeile"/>
      <w:tabs>
        <w:tab w:val="clear" w:pos="4536"/>
        <w:tab w:val="clear" w:pos="9072"/>
        <w:tab w:val="left" w:pos="9213"/>
        <w:tab w:val="right" w:pos="10205"/>
      </w:tabs>
      <w:rPr>
        <w:rFonts w:ascii="Arial" w:hAnsi="Arial" w:cs="Arial"/>
        <w:sz w:val="16"/>
      </w:rPr>
    </w:pPr>
    <w:r>
      <w:rPr>
        <w:rFonts w:ascii="Arial" w:eastAsia="Arial" w:hAnsi="Arial" w:cs="Arial"/>
        <w:noProof/>
        <w:sz w:val="16"/>
        <w:lang w:bidi="en-GB"/>
      </w:rPr>
      <mc:AlternateContent>
        <mc:Choice Requires="wps">
          <w:drawing>
            <wp:anchor distT="0" distB="0" distL="114300" distR="114300" simplePos="0" relativeHeight="251659264" behindDoc="0" locked="1" layoutInCell="0" allowOverlap="1" wp14:anchorId="3B04A44A" wp14:editId="1A11D6F1">
              <wp:simplePos x="0" y="0"/>
              <wp:positionH relativeFrom="column">
                <wp:posOffset>10795</wp:posOffset>
              </wp:positionH>
              <wp:positionV relativeFrom="paragraph">
                <wp:posOffset>-17780</wp:posOffset>
              </wp:positionV>
              <wp:extent cx="457200" cy="0"/>
              <wp:effectExtent l="0" t="0" r="0" b="0"/>
              <wp:wrapNone/>
              <wp:docPr id="4578993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26451"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453BCA" w:rsidRPr="00F71658">
      <w:rPr>
        <w:rFonts w:ascii="Arial" w:eastAsia="Arial" w:hAnsi="Arial" w:cs="Arial"/>
        <w:sz w:val="16"/>
        <w:lang w:bidi="en-GB"/>
      </w:rPr>
      <w:t>DTV Cargo 2000/2011 – War Clause, January 2026</w:t>
    </w:r>
    <w:r w:rsidR="00453BCA" w:rsidRPr="00F71658">
      <w:rPr>
        <w:rFonts w:ascii="Arial" w:eastAsia="Arial" w:hAnsi="Arial" w:cs="Arial"/>
        <w:sz w:val="16"/>
        <w:lang w:bidi="en-GB"/>
      </w:rPr>
      <w:tab/>
      <w:t>Page</w:t>
    </w:r>
    <w:r w:rsidR="00453BCA" w:rsidRPr="00F71658">
      <w:rPr>
        <w:rFonts w:ascii="Arial" w:eastAsia="Arial" w:hAnsi="Arial" w:cs="Arial"/>
        <w:sz w:val="16"/>
        <w:lang w:bidi="en-GB"/>
      </w:rPr>
      <w:tab/>
    </w:r>
    <w:r w:rsidR="00453BCA" w:rsidRPr="00F71658">
      <w:rPr>
        <w:rFonts w:ascii="Arial" w:eastAsia="Arial" w:hAnsi="Arial" w:cs="Arial"/>
        <w:sz w:val="16"/>
        <w:lang w:bidi="en-GB"/>
      </w:rPr>
      <w:fldChar w:fldCharType="begin"/>
    </w:r>
    <w:r w:rsidR="00453BCA" w:rsidRPr="00F71658">
      <w:rPr>
        <w:rFonts w:ascii="Arial" w:eastAsia="Arial" w:hAnsi="Arial" w:cs="Arial"/>
        <w:sz w:val="16"/>
        <w:lang w:bidi="en-GB"/>
      </w:rPr>
      <w:instrText xml:space="preserve"> PAGE  \* MERGEFORMAT </w:instrText>
    </w:r>
    <w:r w:rsidR="00453BCA" w:rsidRPr="00F71658">
      <w:rPr>
        <w:rFonts w:ascii="Arial" w:eastAsia="Arial" w:hAnsi="Arial" w:cs="Arial"/>
        <w:sz w:val="16"/>
        <w:lang w:bidi="en-GB"/>
      </w:rPr>
      <w:fldChar w:fldCharType="separate"/>
    </w:r>
    <w:r w:rsidR="004A3C67">
      <w:rPr>
        <w:rFonts w:ascii="Arial" w:eastAsia="Arial" w:hAnsi="Arial" w:cs="Arial"/>
        <w:noProof/>
        <w:sz w:val="16"/>
        <w:lang w:bidi="en-GB"/>
      </w:rPr>
      <w:t>2</w:t>
    </w:r>
    <w:r w:rsidR="00453BCA" w:rsidRPr="00F71658">
      <w:rPr>
        <w:rFonts w:ascii="Arial" w:eastAsia="Arial" w:hAnsi="Arial" w:cs="Arial"/>
        <w:sz w:val="16"/>
        <w:lang w:bidi="en-GB"/>
      </w:rPr>
      <w:fldChar w:fldCharType="end"/>
    </w:r>
    <w:r w:rsidR="00453BCA" w:rsidRPr="00F71658">
      <w:rPr>
        <w:rFonts w:ascii="Arial" w:eastAsia="Arial" w:hAnsi="Arial" w:cs="Arial"/>
        <w:sz w:val="16"/>
        <w:lang w:bidi="en-GB"/>
      </w:rPr>
      <w:t xml:space="preserve"> / </w:t>
    </w:r>
    <w:r w:rsidR="00453BCA" w:rsidRPr="00F71658">
      <w:rPr>
        <w:rFonts w:ascii="Arial" w:eastAsia="Arial" w:hAnsi="Arial" w:cs="Arial"/>
        <w:sz w:val="16"/>
        <w:lang w:bidi="en-GB"/>
      </w:rPr>
      <w:fldChar w:fldCharType="begin"/>
    </w:r>
    <w:r w:rsidR="00453BCA" w:rsidRPr="00F71658">
      <w:rPr>
        <w:rFonts w:ascii="Arial" w:eastAsia="Arial" w:hAnsi="Arial" w:cs="Arial"/>
        <w:sz w:val="16"/>
        <w:lang w:bidi="en-GB"/>
      </w:rPr>
      <w:instrText xml:space="preserve"> NUMPAGES  \* MERGEFORMAT </w:instrText>
    </w:r>
    <w:r w:rsidR="00453BCA" w:rsidRPr="00F71658">
      <w:rPr>
        <w:rFonts w:ascii="Arial" w:eastAsia="Arial" w:hAnsi="Arial" w:cs="Arial"/>
        <w:sz w:val="16"/>
        <w:lang w:bidi="en-GB"/>
      </w:rPr>
      <w:fldChar w:fldCharType="separate"/>
    </w:r>
    <w:r w:rsidR="004A3C67">
      <w:rPr>
        <w:rFonts w:ascii="Arial" w:eastAsia="Arial" w:hAnsi="Arial" w:cs="Arial"/>
        <w:noProof/>
        <w:sz w:val="16"/>
        <w:lang w:bidi="en-GB"/>
      </w:rPr>
      <w:t>2</w:t>
    </w:r>
    <w:r w:rsidR="00453BCA" w:rsidRPr="00F71658">
      <w:rPr>
        <w:rFonts w:ascii="Arial" w:eastAsia="Arial" w:hAnsi="Arial" w:cs="Arial"/>
        <w:sz w:val="16"/>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CB6" w14:textId="4C60B48E" w:rsidR="00453BCA" w:rsidRPr="00F71658" w:rsidRDefault="0005438E" w:rsidP="00F71658">
    <w:pPr>
      <w:pStyle w:val="Fuzeile"/>
      <w:tabs>
        <w:tab w:val="clear" w:pos="4536"/>
        <w:tab w:val="clear" w:pos="9072"/>
        <w:tab w:val="left" w:pos="9213"/>
        <w:tab w:val="right" w:pos="10205"/>
      </w:tabs>
      <w:rPr>
        <w:rFonts w:ascii="Arial" w:hAnsi="Arial" w:cs="Arial"/>
        <w:sz w:val="16"/>
      </w:rPr>
    </w:pPr>
    <w:r>
      <w:rPr>
        <w:rFonts w:ascii="Arial" w:eastAsia="Arial" w:hAnsi="Arial" w:cs="Arial"/>
        <w:noProof/>
        <w:sz w:val="16"/>
        <w:lang w:bidi="en-GB"/>
      </w:rPr>
      <mc:AlternateContent>
        <mc:Choice Requires="wps">
          <w:drawing>
            <wp:anchor distT="0" distB="0" distL="114300" distR="114300" simplePos="0" relativeHeight="251657216" behindDoc="1" locked="1" layoutInCell="0" allowOverlap="1" wp14:anchorId="70B07310" wp14:editId="2299E346">
              <wp:simplePos x="0" y="0"/>
              <wp:positionH relativeFrom="column">
                <wp:posOffset>10795</wp:posOffset>
              </wp:positionH>
              <wp:positionV relativeFrom="paragraph">
                <wp:posOffset>-17780</wp:posOffset>
              </wp:positionV>
              <wp:extent cx="457200" cy="0"/>
              <wp:effectExtent l="0" t="0" r="0" b="0"/>
              <wp:wrapNone/>
              <wp:docPr id="5345287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CA6D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453BCA" w:rsidRPr="00F71658">
      <w:rPr>
        <w:rFonts w:ascii="Arial" w:eastAsia="Arial" w:hAnsi="Arial" w:cs="Arial"/>
        <w:sz w:val="16"/>
        <w:lang w:bidi="en-GB"/>
      </w:rPr>
      <w:t>DTV Cargo 2000/2011 – War Clause, January 2026</w:t>
    </w:r>
    <w:r w:rsidR="00453BCA" w:rsidRPr="00F71658">
      <w:rPr>
        <w:rFonts w:ascii="Arial" w:eastAsia="Arial" w:hAnsi="Arial" w:cs="Arial"/>
        <w:sz w:val="16"/>
        <w:lang w:bidi="en-GB"/>
      </w:rPr>
      <w:tab/>
      <w:t>Page</w:t>
    </w:r>
    <w:r w:rsidR="00453BCA" w:rsidRPr="00F71658">
      <w:rPr>
        <w:rFonts w:ascii="Arial" w:eastAsia="Arial" w:hAnsi="Arial" w:cs="Arial"/>
        <w:sz w:val="16"/>
        <w:lang w:bidi="en-GB"/>
      </w:rPr>
      <w:tab/>
    </w:r>
    <w:r w:rsidR="00453BCA" w:rsidRPr="00F71658">
      <w:rPr>
        <w:rFonts w:ascii="Arial" w:eastAsia="Arial" w:hAnsi="Arial" w:cs="Arial"/>
        <w:sz w:val="16"/>
        <w:lang w:bidi="en-GB"/>
      </w:rPr>
      <w:fldChar w:fldCharType="begin"/>
    </w:r>
    <w:r w:rsidR="00453BCA" w:rsidRPr="00F71658">
      <w:rPr>
        <w:rFonts w:ascii="Arial" w:eastAsia="Arial" w:hAnsi="Arial" w:cs="Arial"/>
        <w:sz w:val="16"/>
        <w:lang w:bidi="en-GB"/>
      </w:rPr>
      <w:instrText xml:space="preserve"> PAGE  \* MERGEFORMAT </w:instrText>
    </w:r>
    <w:r w:rsidR="00453BCA" w:rsidRPr="00F71658">
      <w:rPr>
        <w:rFonts w:ascii="Arial" w:eastAsia="Arial" w:hAnsi="Arial" w:cs="Arial"/>
        <w:sz w:val="16"/>
        <w:lang w:bidi="en-GB"/>
      </w:rPr>
      <w:fldChar w:fldCharType="separate"/>
    </w:r>
    <w:r w:rsidR="004A3C67">
      <w:rPr>
        <w:rFonts w:ascii="Arial" w:eastAsia="Arial" w:hAnsi="Arial" w:cs="Arial"/>
        <w:noProof/>
        <w:sz w:val="16"/>
        <w:lang w:bidi="en-GB"/>
      </w:rPr>
      <w:t>1</w:t>
    </w:r>
    <w:r w:rsidR="00453BCA" w:rsidRPr="00F71658">
      <w:rPr>
        <w:rFonts w:ascii="Arial" w:eastAsia="Arial" w:hAnsi="Arial" w:cs="Arial"/>
        <w:sz w:val="16"/>
        <w:lang w:bidi="en-GB"/>
      </w:rPr>
      <w:fldChar w:fldCharType="end"/>
    </w:r>
    <w:r w:rsidR="00453BCA" w:rsidRPr="00F71658">
      <w:rPr>
        <w:rFonts w:ascii="Arial" w:eastAsia="Arial" w:hAnsi="Arial" w:cs="Arial"/>
        <w:sz w:val="16"/>
        <w:lang w:bidi="en-GB"/>
      </w:rPr>
      <w:t xml:space="preserve"> / </w:t>
    </w:r>
    <w:r w:rsidR="00453BCA" w:rsidRPr="00F71658">
      <w:rPr>
        <w:rFonts w:ascii="Arial" w:eastAsia="Arial" w:hAnsi="Arial" w:cs="Arial"/>
        <w:sz w:val="16"/>
        <w:lang w:bidi="en-GB"/>
      </w:rPr>
      <w:fldChar w:fldCharType="begin"/>
    </w:r>
    <w:r w:rsidR="00453BCA" w:rsidRPr="00F71658">
      <w:rPr>
        <w:rFonts w:ascii="Arial" w:eastAsia="Arial" w:hAnsi="Arial" w:cs="Arial"/>
        <w:sz w:val="16"/>
        <w:lang w:bidi="en-GB"/>
      </w:rPr>
      <w:instrText xml:space="preserve"> NUMPAGES  \* MERGEFORMAT </w:instrText>
    </w:r>
    <w:r w:rsidR="00453BCA" w:rsidRPr="00F71658">
      <w:rPr>
        <w:rFonts w:ascii="Arial" w:eastAsia="Arial" w:hAnsi="Arial" w:cs="Arial"/>
        <w:sz w:val="16"/>
        <w:lang w:bidi="en-GB"/>
      </w:rPr>
      <w:fldChar w:fldCharType="separate"/>
    </w:r>
    <w:r w:rsidR="004A3C67">
      <w:rPr>
        <w:rFonts w:ascii="Arial" w:eastAsia="Arial" w:hAnsi="Arial" w:cs="Arial"/>
        <w:noProof/>
        <w:sz w:val="16"/>
        <w:lang w:bidi="en-GB"/>
      </w:rPr>
      <w:t>2</w:t>
    </w:r>
    <w:r w:rsidR="00453BCA" w:rsidRPr="00F71658">
      <w:rPr>
        <w:rFonts w:ascii="Arial" w:eastAsia="Arial" w:hAnsi="Arial" w:cs="Arial"/>
        <w:sz w:val="16"/>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5066" w14:textId="77777777" w:rsidR="00C06B91" w:rsidRDefault="00C06B91">
      <w:r>
        <w:rPr>
          <w:sz w:val="24"/>
        </w:rPr>
        <w:separator/>
      </w:r>
    </w:p>
  </w:footnote>
  <w:footnote w:type="continuationSeparator" w:id="0">
    <w:p w14:paraId="45D12FF8" w14:textId="77777777" w:rsidR="00C06B91" w:rsidRDefault="00C06B91">
      <w:r>
        <w:continuationSeparator/>
      </w:r>
    </w:p>
  </w:footnote>
  <w:footnote w:type="continuationNotice" w:id="1">
    <w:p w14:paraId="3B5CB962" w14:textId="77777777" w:rsidR="00C06B91" w:rsidRDefault="00C06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3D7E" w14:textId="5DBF6871" w:rsidR="00DA70B5" w:rsidRDefault="00DA70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C146" w14:textId="13169F47" w:rsidR="00453BCA" w:rsidRDefault="0005438E" w:rsidP="00F71658">
    <w:pPr>
      <w:pStyle w:val="Kopfzeile"/>
      <w:spacing w:after="100"/>
      <w:rPr>
        <w:rFonts w:ascii="Arial" w:hAnsi="Arial" w:cs="Arial"/>
        <w:b/>
        <w:sz w:val="24"/>
      </w:rPr>
    </w:pPr>
    <w:r>
      <w:rPr>
        <w:noProof/>
        <w:lang w:bidi="en-GB"/>
      </w:rPr>
      <w:drawing>
        <wp:anchor distT="0" distB="0" distL="114300" distR="114300" simplePos="0" relativeHeight="251656704" behindDoc="0" locked="0" layoutInCell="1" allowOverlap="1" wp14:anchorId="7A9ED956" wp14:editId="3211068C">
          <wp:simplePos x="0" y="0"/>
          <wp:positionH relativeFrom="margin">
            <wp:posOffset>0</wp:posOffset>
          </wp:positionH>
          <wp:positionV relativeFrom="paragraph">
            <wp:posOffset>191770</wp:posOffset>
          </wp:positionV>
          <wp:extent cx="2343150" cy="409575"/>
          <wp:effectExtent l="0" t="0" r="0" b="0"/>
          <wp:wrapNone/>
          <wp:docPr id="2129075843" name="Bild 9"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695" t="27907" r="6761" b="22093"/>
                  <a:stretch>
                    <a:fillRect/>
                  </a:stretch>
                </pic:blipFill>
                <pic:spPr bwMode="auto">
                  <a:xfrm>
                    <a:off x="0" y="0"/>
                    <a:ext cx="2343150" cy="409575"/>
                  </a:xfrm>
                  <a:prstGeom prst="rect">
                    <a:avLst/>
                  </a:prstGeom>
                  <a:noFill/>
                </pic:spPr>
              </pic:pic>
            </a:graphicData>
          </a:graphic>
          <wp14:sizeRelH relativeFrom="page">
            <wp14:pctWidth>0</wp14:pctWidth>
          </wp14:sizeRelH>
          <wp14:sizeRelV relativeFrom="page">
            <wp14:pctHeight>0</wp14:pctHeight>
          </wp14:sizeRelV>
        </wp:anchor>
      </w:drawing>
    </w:r>
  </w:p>
  <w:p w14:paraId="33B069EE" w14:textId="77777777" w:rsidR="00453BCA" w:rsidRDefault="00453BCA" w:rsidP="00F71658">
    <w:pPr>
      <w:pStyle w:val="Kopfzeile"/>
      <w:spacing w:after="100"/>
      <w:rPr>
        <w:rFonts w:ascii="Arial" w:hAnsi="Arial" w:cs="Arial"/>
        <w:b/>
        <w:sz w:val="24"/>
      </w:rPr>
    </w:pPr>
  </w:p>
  <w:p w14:paraId="11DC9E97" w14:textId="77777777" w:rsidR="00453BCA" w:rsidRDefault="00453BCA" w:rsidP="00F71658">
    <w:pPr>
      <w:pStyle w:val="Kopfzeile"/>
      <w:spacing w:after="100"/>
      <w:rPr>
        <w:rFonts w:ascii="Arial" w:hAnsi="Arial" w:cs="Arial"/>
        <w:b/>
        <w:sz w:val="24"/>
      </w:rPr>
    </w:pPr>
  </w:p>
  <w:p w14:paraId="57BCB323" w14:textId="77777777" w:rsidR="00453BCA" w:rsidRPr="00F71658" w:rsidRDefault="00453BCA" w:rsidP="00F71658">
    <w:pPr>
      <w:pStyle w:val="Kopfzeile"/>
      <w:spacing w:after="100"/>
      <w:rPr>
        <w:rFonts w:ascii="Arial" w:hAnsi="Arial" w:cs="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8BEB" w14:textId="727DC36F" w:rsidR="00453BCA" w:rsidRDefault="0005438E" w:rsidP="00F71658">
    <w:pPr>
      <w:pStyle w:val="Textkrper2"/>
      <w:pBdr>
        <w:bottom w:val="single" w:sz="4" w:space="1" w:color="auto"/>
      </w:pBdr>
      <w:spacing w:after="100"/>
      <w:rPr>
        <w:rFonts w:cs="Arial"/>
        <w:b/>
        <w:sz w:val="24"/>
      </w:rPr>
    </w:pPr>
    <w:r>
      <w:rPr>
        <w:noProof/>
        <w:lang w:bidi="en-GB"/>
      </w:rPr>
      <w:drawing>
        <wp:anchor distT="0" distB="0" distL="114300" distR="114300" simplePos="0" relativeHeight="251655680" behindDoc="0" locked="0" layoutInCell="1" allowOverlap="1" wp14:anchorId="1FCC0389" wp14:editId="444D65DA">
          <wp:simplePos x="0" y="0"/>
          <wp:positionH relativeFrom="margin">
            <wp:posOffset>0</wp:posOffset>
          </wp:positionH>
          <wp:positionV relativeFrom="paragraph">
            <wp:posOffset>191135</wp:posOffset>
          </wp:positionV>
          <wp:extent cx="2343150" cy="409575"/>
          <wp:effectExtent l="0" t="0" r="0" b="0"/>
          <wp:wrapNone/>
          <wp:docPr id="1088629013" name="Grafik 1"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704" t="27945" r="6754" b="22104"/>
                  <a:stretch>
                    <a:fillRect/>
                  </a:stretch>
                </pic:blipFill>
                <pic:spPr bwMode="auto">
                  <a:xfrm>
                    <a:off x="0" y="0"/>
                    <a:ext cx="2343150" cy="409575"/>
                  </a:xfrm>
                  <a:prstGeom prst="rect">
                    <a:avLst/>
                  </a:prstGeom>
                  <a:noFill/>
                </pic:spPr>
              </pic:pic>
            </a:graphicData>
          </a:graphic>
          <wp14:sizeRelH relativeFrom="page">
            <wp14:pctWidth>0</wp14:pctWidth>
          </wp14:sizeRelH>
          <wp14:sizeRelV relativeFrom="page">
            <wp14:pctHeight>0</wp14:pctHeight>
          </wp14:sizeRelV>
        </wp:anchor>
      </w:drawing>
    </w:r>
  </w:p>
  <w:p w14:paraId="722BB020" w14:textId="77777777" w:rsidR="00453BCA" w:rsidRDefault="00453BCA" w:rsidP="00F71658">
    <w:pPr>
      <w:pStyle w:val="Textkrper2"/>
      <w:pBdr>
        <w:bottom w:val="single" w:sz="4" w:space="1" w:color="auto"/>
      </w:pBdr>
      <w:spacing w:after="100"/>
      <w:rPr>
        <w:rFonts w:cs="Arial"/>
        <w:b/>
        <w:sz w:val="24"/>
      </w:rPr>
    </w:pPr>
  </w:p>
  <w:p w14:paraId="1110C246" w14:textId="77777777" w:rsidR="00453BCA" w:rsidRDefault="00453BCA" w:rsidP="00F71658">
    <w:pPr>
      <w:pStyle w:val="Textkrper2"/>
      <w:pBdr>
        <w:bottom w:val="single" w:sz="4" w:space="1" w:color="auto"/>
      </w:pBdr>
      <w:spacing w:after="100"/>
      <w:rPr>
        <w:rFonts w:cs="Arial"/>
        <w:b/>
        <w:sz w:val="24"/>
      </w:rPr>
    </w:pPr>
  </w:p>
  <w:p w14:paraId="4AF9BAA4" w14:textId="77777777" w:rsidR="00453BCA" w:rsidRPr="00F71658" w:rsidRDefault="00453BCA" w:rsidP="00F71658">
    <w:pPr>
      <w:pStyle w:val="Textkrper2"/>
      <w:pBdr>
        <w:bottom w:val="single" w:sz="4" w:space="1" w:color="auto"/>
      </w:pBdr>
      <w:spacing w:after="100"/>
      <w:rPr>
        <w:rFonts w:cs="Arial"/>
        <w:b/>
        <w:sz w:val="24"/>
      </w:rPr>
    </w:pPr>
  </w:p>
  <w:p w14:paraId="6979FCCB" w14:textId="77777777" w:rsidR="00453BCA" w:rsidRPr="00F71658" w:rsidRDefault="00453BCA" w:rsidP="00F71658">
    <w:pPr>
      <w:pStyle w:val="Textkrper2"/>
      <w:pBdr>
        <w:bottom w:val="single" w:sz="4" w:space="1" w:color="auto"/>
      </w:pBdr>
      <w:rPr>
        <w:sz w:val="20"/>
      </w:rPr>
    </w:pPr>
    <w:r w:rsidRPr="00F71658">
      <w:rPr>
        <w:sz w:val="20"/>
        <w:lang w:bidi="en-GB"/>
      </w:rPr>
      <w:t>Non-binding Recommendations of the German Insurance Association (GDV)</w:t>
    </w:r>
    <w:r w:rsidRPr="00F71658">
      <w:rPr>
        <w:sz w:val="20"/>
        <w:lang w:bidi="en-GB"/>
      </w:rPr>
      <w:br/>
      <w:t>for Facultative Use. Other conditions may be agreed.</w:t>
    </w:r>
    <w:r w:rsidRPr="00F71658">
      <w:rPr>
        <w:sz w:val="20"/>
        <w:lang w:bidi="en-GB"/>
      </w:rPr>
      <w:br/>
      <w:t>In case of deviations, only the German wording shall be binding and prevail.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0A57D4"/>
    <w:lvl w:ilvl="0">
      <w:numFmt w:val="decimal"/>
      <w:pStyle w:val="aaadejongAufzStrich"/>
      <w:lvlText w:val="*"/>
      <w:lvlJc w:val="left"/>
    </w:lvl>
  </w:abstractNum>
  <w:abstractNum w:abstractNumId="1" w15:restartNumberingAfterBreak="0">
    <w:nsid w:val="05176176"/>
    <w:multiLevelType w:val="hybridMultilevel"/>
    <w:tmpl w:val="BE902602"/>
    <w:lvl w:ilvl="0" w:tplc="CC4E765A">
      <w:start w:val="5"/>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0EA929D1"/>
    <w:multiLevelType w:val="hybridMultilevel"/>
    <w:tmpl w:val="CCEE63A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F3278"/>
    <w:multiLevelType w:val="multilevel"/>
    <w:tmpl w:val="B108F38C"/>
    <w:lvl w:ilvl="0">
      <w:start w:val="5"/>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9405F0"/>
    <w:multiLevelType w:val="multilevel"/>
    <w:tmpl w:val="D2A46D5E"/>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0019A1"/>
    <w:multiLevelType w:val="hybridMultilevel"/>
    <w:tmpl w:val="D43240AE"/>
    <w:lvl w:ilvl="0" w:tplc="FFFFFFFF">
      <w:start w:val="1"/>
      <w:numFmt w:val="bullet"/>
      <w:lvlText w:val=""/>
      <w:lvlJc w:val="left"/>
      <w:pPr>
        <w:tabs>
          <w:tab w:val="num" w:pos="927"/>
        </w:tabs>
        <w:ind w:left="927" w:hanging="357"/>
      </w:pPr>
      <w:rPr>
        <w:rFonts w:ascii="Symbol" w:hAnsi="Symbol" w:hint="default"/>
      </w:rPr>
    </w:lvl>
    <w:lvl w:ilvl="1" w:tplc="FFFFFFFF" w:tentative="1">
      <w:start w:val="1"/>
      <w:numFmt w:val="bullet"/>
      <w:lvlText w:val="o"/>
      <w:lvlJc w:val="left"/>
      <w:pPr>
        <w:tabs>
          <w:tab w:val="num" w:pos="2010"/>
        </w:tabs>
        <w:ind w:left="2010" w:hanging="360"/>
      </w:pPr>
      <w:rPr>
        <w:rFonts w:ascii="Courier New" w:hAnsi="Courier New" w:cs="Courier New" w:hint="default"/>
      </w:rPr>
    </w:lvl>
    <w:lvl w:ilvl="2" w:tplc="FFFFFFFF" w:tentative="1">
      <w:start w:val="1"/>
      <w:numFmt w:val="bullet"/>
      <w:lvlText w:val=""/>
      <w:lvlJc w:val="left"/>
      <w:pPr>
        <w:tabs>
          <w:tab w:val="num" w:pos="2730"/>
        </w:tabs>
        <w:ind w:left="2730" w:hanging="360"/>
      </w:pPr>
      <w:rPr>
        <w:rFonts w:ascii="Wingdings" w:hAnsi="Wingdings" w:hint="default"/>
      </w:rPr>
    </w:lvl>
    <w:lvl w:ilvl="3" w:tplc="FFFFFFFF" w:tentative="1">
      <w:start w:val="1"/>
      <w:numFmt w:val="bullet"/>
      <w:lvlText w:val=""/>
      <w:lvlJc w:val="left"/>
      <w:pPr>
        <w:tabs>
          <w:tab w:val="num" w:pos="3450"/>
        </w:tabs>
        <w:ind w:left="3450" w:hanging="360"/>
      </w:pPr>
      <w:rPr>
        <w:rFonts w:ascii="Symbol" w:hAnsi="Symbol" w:hint="default"/>
      </w:rPr>
    </w:lvl>
    <w:lvl w:ilvl="4" w:tplc="FFFFFFFF" w:tentative="1">
      <w:start w:val="1"/>
      <w:numFmt w:val="bullet"/>
      <w:lvlText w:val="o"/>
      <w:lvlJc w:val="left"/>
      <w:pPr>
        <w:tabs>
          <w:tab w:val="num" w:pos="4170"/>
        </w:tabs>
        <w:ind w:left="4170" w:hanging="360"/>
      </w:pPr>
      <w:rPr>
        <w:rFonts w:ascii="Courier New" w:hAnsi="Courier New" w:cs="Courier New" w:hint="default"/>
      </w:rPr>
    </w:lvl>
    <w:lvl w:ilvl="5" w:tplc="FFFFFFFF" w:tentative="1">
      <w:start w:val="1"/>
      <w:numFmt w:val="bullet"/>
      <w:lvlText w:val=""/>
      <w:lvlJc w:val="left"/>
      <w:pPr>
        <w:tabs>
          <w:tab w:val="num" w:pos="4890"/>
        </w:tabs>
        <w:ind w:left="4890" w:hanging="360"/>
      </w:pPr>
      <w:rPr>
        <w:rFonts w:ascii="Wingdings" w:hAnsi="Wingdings" w:hint="default"/>
      </w:rPr>
    </w:lvl>
    <w:lvl w:ilvl="6" w:tplc="FFFFFFFF" w:tentative="1">
      <w:start w:val="1"/>
      <w:numFmt w:val="bullet"/>
      <w:lvlText w:val=""/>
      <w:lvlJc w:val="left"/>
      <w:pPr>
        <w:tabs>
          <w:tab w:val="num" w:pos="5610"/>
        </w:tabs>
        <w:ind w:left="5610" w:hanging="360"/>
      </w:pPr>
      <w:rPr>
        <w:rFonts w:ascii="Symbol" w:hAnsi="Symbol" w:hint="default"/>
      </w:rPr>
    </w:lvl>
    <w:lvl w:ilvl="7" w:tplc="FFFFFFFF" w:tentative="1">
      <w:start w:val="1"/>
      <w:numFmt w:val="bullet"/>
      <w:lvlText w:val="o"/>
      <w:lvlJc w:val="left"/>
      <w:pPr>
        <w:tabs>
          <w:tab w:val="num" w:pos="6330"/>
        </w:tabs>
        <w:ind w:left="6330" w:hanging="360"/>
      </w:pPr>
      <w:rPr>
        <w:rFonts w:ascii="Courier New" w:hAnsi="Courier New" w:cs="Courier New" w:hint="default"/>
      </w:rPr>
    </w:lvl>
    <w:lvl w:ilvl="8" w:tplc="FFFFFFFF" w:tentative="1">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25E15E4D"/>
    <w:multiLevelType w:val="hybridMultilevel"/>
    <w:tmpl w:val="8FFE96BE"/>
    <w:lvl w:ilvl="0" w:tplc="FFFFFFFF">
      <w:start w:val="3"/>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657178C"/>
    <w:multiLevelType w:val="hybridMultilevel"/>
    <w:tmpl w:val="2F621AB6"/>
    <w:lvl w:ilvl="0" w:tplc="FFFFFFFF">
      <w:start w:val="1"/>
      <w:numFmt w:val="bullet"/>
      <w:lvlText w:val=""/>
      <w:lvlJc w:val="left"/>
      <w:pPr>
        <w:tabs>
          <w:tab w:val="num" w:pos="1062"/>
        </w:tabs>
        <w:ind w:left="1062" w:hanging="357"/>
      </w:pPr>
      <w:rPr>
        <w:rFonts w:ascii="Symbol" w:hAnsi="Symbol" w:hint="default"/>
      </w:rPr>
    </w:lvl>
    <w:lvl w:ilvl="1" w:tplc="FFFFFFFF" w:tentative="1">
      <w:start w:val="1"/>
      <w:numFmt w:val="bullet"/>
      <w:lvlText w:val="o"/>
      <w:lvlJc w:val="left"/>
      <w:pPr>
        <w:tabs>
          <w:tab w:val="num" w:pos="2145"/>
        </w:tabs>
        <w:ind w:left="2145" w:hanging="360"/>
      </w:pPr>
      <w:rPr>
        <w:rFonts w:ascii="Courier New" w:hAnsi="Courier New" w:cs="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7DC5794"/>
    <w:multiLevelType w:val="hybridMultilevel"/>
    <w:tmpl w:val="50B0CA1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9" w15:restartNumberingAfterBreak="0">
    <w:nsid w:val="33465282"/>
    <w:multiLevelType w:val="hybridMultilevel"/>
    <w:tmpl w:val="21AE9CB2"/>
    <w:lvl w:ilvl="0" w:tplc="9574150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D274B2"/>
    <w:multiLevelType w:val="multilevel"/>
    <w:tmpl w:val="6066B6A0"/>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57"/>
        </w:tabs>
        <w:ind w:left="357" w:hanging="357"/>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1E6544D"/>
    <w:multiLevelType w:val="hybridMultilevel"/>
    <w:tmpl w:val="27E4C92A"/>
    <w:lvl w:ilvl="0" w:tplc="FFFFFFFF">
      <w:start w:val="2"/>
      <w:numFmt w:val="bullet"/>
      <w:lvlText w:val="-"/>
      <w:lvlJc w:val="left"/>
      <w:pPr>
        <w:tabs>
          <w:tab w:val="num" w:pos="930"/>
        </w:tabs>
        <w:ind w:left="930" w:hanging="360"/>
      </w:pPr>
      <w:rPr>
        <w:rFonts w:ascii="Arial" w:eastAsia="Times New Roman" w:hAnsi="Arial" w:cs="Arial" w:hint="default"/>
      </w:rPr>
    </w:lvl>
    <w:lvl w:ilvl="1" w:tplc="FFFFFFFF" w:tentative="1">
      <w:start w:val="1"/>
      <w:numFmt w:val="bullet"/>
      <w:lvlText w:val="o"/>
      <w:lvlJc w:val="left"/>
      <w:pPr>
        <w:tabs>
          <w:tab w:val="num" w:pos="1650"/>
        </w:tabs>
        <w:ind w:left="1650" w:hanging="360"/>
      </w:pPr>
      <w:rPr>
        <w:rFonts w:ascii="Courier New" w:hAnsi="Courier New" w:cs="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cs="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cs="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45702C9B"/>
    <w:multiLevelType w:val="hybridMultilevel"/>
    <w:tmpl w:val="F3D00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FF36D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56E315E5"/>
    <w:multiLevelType w:val="hybridMultilevel"/>
    <w:tmpl w:val="6964816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2501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625D64ED"/>
    <w:multiLevelType w:val="multilevel"/>
    <w:tmpl w:val="528C5C94"/>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52934A1"/>
    <w:multiLevelType w:val="singleLevel"/>
    <w:tmpl w:val="62467D7E"/>
    <w:lvl w:ilvl="0">
      <w:numFmt w:val="bullet"/>
      <w:lvlText w:val="-"/>
      <w:lvlJc w:val="left"/>
      <w:pPr>
        <w:tabs>
          <w:tab w:val="num" w:pos="1065"/>
        </w:tabs>
        <w:ind w:left="1065" w:hanging="360"/>
      </w:pPr>
      <w:rPr>
        <w:rFonts w:hint="default"/>
      </w:rPr>
    </w:lvl>
  </w:abstractNum>
  <w:abstractNum w:abstractNumId="18" w15:restartNumberingAfterBreak="0">
    <w:nsid w:val="6BE27948"/>
    <w:multiLevelType w:val="singleLevel"/>
    <w:tmpl w:val="127C81B2"/>
    <w:lvl w:ilvl="0">
      <w:start w:val="2"/>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19" w15:restartNumberingAfterBreak="0">
    <w:nsid w:val="6CEF6969"/>
    <w:multiLevelType w:val="multilevel"/>
    <w:tmpl w:val="4CF4B7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E41653"/>
    <w:multiLevelType w:val="singleLevel"/>
    <w:tmpl w:val="2FE0F154"/>
    <w:lvl w:ilvl="0">
      <w:start w:val="1"/>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21" w15:restartNumberingAfterBreak="0">
    <w:nsid w:val="75480A84"/>
    <w:multiLevelType w:val="multilevel"/>
    <w:tmpl w:val="4CF4B7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B345E7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826504646">
    <w:abstractNumId w:val="20"/>
  </w:num>
  <w:num w:numId="2" w16cid:durableId="1056785298">
    <w:abstractNumId w:val="0"/>
    <w:lvlOverride w:ilvl="0">
      <w:lvl w:ilvl="0">
        <w:start w:val="1"/>
        <w:numFmt w:val="bullet"/>
        <w:pStyle w:val="aaadejongAufzStrich"/>
        <w:lvlText w:val=""/>
        <w:legacy w:legacy="1" w:legacySpace="0" w:legacyIndent="283"/>
        <w:lvlJc w:val="left"/>
        <w:pPr>
          <w:ind w:left="1417" w:hanging="283"/>
        </w:pPr>
        <w:rPr>
          <w:rFonts w:ascii="Symbol" w:hAnsi="Symbol" w:hint="default"/>
        </w:rPr>
      </w:lvl>
    </w:lvlOverride>
  </w:num>
  <w:num w:numId="3" w16cid:durableId="2142457524">
    <w:abstractNumId w:val="18"/>
  </w:num>
  <w:num w:numId="4" w16cid:durableId="425812603">
    <w:abstractNumId w:val="22"/>
  </w:num>
  <w:num w:numId="5" w16cid:durableId="1371615102">
    <w:abstractNumId w:val="17"/>
  </w:num>
  <w:num w:numId="6" w16cid:durableId="743458192">
    <w:abstractNumId w:val="0"/>
    <w:lvlOverride w:ilvl="0">
      <w:lvl w:ilvl="0">
        <w:start w:val="1"/>
        <w:numFmt w:val="bullet"/>
        <w:pStyle w:val="aaadejongAufzStrich"/>
        <w:lvlText w:val=""/>
        <w:legacy w:legacy="1" w:legacySpace="0" w:legacyIndent="283"/>
        <w:lvlJc w:val="left"/>
        <w:pPr>
          <w:ind w:left="283" w:hanging="283"/>
        </w:pPr>
        <w:rPr>
          <w:rFonts w:ascii="Symbol" w:hAnsi="Symbol" w:hint="default"/>
        </w:rPr>
      </w:lvl>
    </w:lvlOverride>
  </w:num>
  <w:num w:numId="7" w16cid:durableId="1854759824">
    <w:abstractNumId w:val="13"/>
  </w:num>
  <w:num w:numId="8" w16cid:durableId="1593856280">
    <w:abstractNumId w:val="7"/>
  </w:num>
  <w:num w:numId="9" w16cid:durableId="1264261513">
    <w:abstractNumId w:val="15"/>
  </w:num>
  <w:num w:numId="10" w16cid:durableId="1118573171">
    <w:abstractNumId w:val="0"/>
    <w:lvlOverride w:ilvl="0">
      <w:lvl w:ilvl="0">
        <w:start w:val="1"/>
        <w:numFmt w:val="bullet"/>
        <w:pStyle w:val="aaadejongAufzStrich"/>
        <w:lvlText w:val=""/>
        <w:legacy w:legacy="1" w:legacySpace="0" w:legacyIndent="283"/>
        <w:lvlJc w:val="left"/>
        <w:pPr>
          <w:ind w:left="1134" w:hanging="283"/>
        </w:pPr>
        <w:rPr>
          <w:rFonts w:ascii="Symbol" w:hAnsi="Symbol" w:hint="default"/>
        </w:rPr>
      </w:lvl>
    </w:lvlOverride>
  </w:num>
  <w:num w:numId="11" w16cid:durableId="9376584">
    <w:abstractNumId w:val="6"/>
  </w:num>
  <w:num w:numId="12" w16cid:durableId="2012296404">
    <w:abstractNumId w:val="16"/>
  </w:num>
  <w:num w:numId="13" w16cid:durableId="1450586191">
    <w:abstractNumId w:val="21"/>
  </w:num>
  <w:num w:numId="14" w16cid:durableId="350761592">
    <w:abstractNumId w:val="19"/>
  </w:num>
  <w:num w:numId="15" w16cid:durableId="1919249291">
    <w:abstractNumId w:val="10"/>
  </w:num>
  <w:num w:numId="16" w16cid:durableId="1984500668">
    <w:abstractNumId w:val="14"/>
  </w:num>
  <w:num w:numId="17" w16cid:durableId="1206021433">
    <w:abstractNumId w:val="5"/>
  </w:num>
  <w:num w:numId="18" w16cid:durableId="1975478147">
    <w:abstractNumId w:val="2"/>
  </w:num>
  <w:num w:numId="19" w16cid:durableId="1336957526">
    <w:abstractNumId w:val="11"/>
  </w:num>
  <w:num w:numId="20" w16cid:durableId="1893729007">
    <w:abstractNumId w:val="12"/>
  </w:num>
  <w:num w:numId="21" w16cid:durableId="78447992">
    <w:abstractNumId w:val="4"/>
  </w:num>
  <w:num w:numId="22" w16cid:durableId="646012888">
    <w:abstractNumId w:val="8"/>
  </w:num>
  <w:num w:numId="23" w16cid:durableId="136341191">
    <w:abstractNumId w:val="9"/>
  </w:num>
  <w:num w:numId="24" w16cid:durableId="14692400">
    <w:abstractNumId w:val="3"/>
  </w:num>
  <w:num w:numId="25" w16cid:durableId="5702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2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E"/>
    <w:rsid w:val="00004BA3"/>
    <w:rsid w:val="00005505"/>
    <w:rsid w:val="00013113"/>
    <w:rsid w:val="00013739"/>
    <w:rsid w:val="000149D4"/>
    <w:rsid w:val="00020632"/>
    <w:rsid w:val="000250FE"/>
    <w:rsid w:val="000255D5"/>
    <w:rsid w:val="0002654D"/>
    <w:rsid w:val="00030347"/>
    <w:rsid w:val="00030A87"/>
    <w:rsid w:val="000331FC"/>
    <w:rsid w:val="000421F0"/>
    <w:rsid w:val="0004265A"/>
    <w:rsid w:val="00043225"/>
    <w:rsid w:val="0005438E"/>
    <w:rsid w:val="0006098C"/>
    <w:rsid w:val="00060D93"/>
    <w:rsid w:val="000644AE"/>
    <w:rsid w:val="00073A18"/>
    <w:rsid w:val="00074279"/>
    <w:rsid w:val="000818D3"/>
    <w:rsid w:val="00082B75"/>
    <w:rsid w:val="000830F8"/>
    <w:rsid w:val="00084084"/>
    <w:rsid w:val="00087D37"/>
    <w:rsid w:val="00091211"/>
    <w:rsid w:val="000A06B3"/>
    <w:rsid w:val="000A68C6"/>
    <w:rsid w:val="000A7EED"/>
    <w:rsid w:val="000B17C5"/>
    <w:rsid w:val="000C3C02"/>
    <w:rsid w:val="000C5CDC"/>
    <w:rsid w:val="000E0203"/>
    <w:rsid w:val="000E2084"/>
    <w:rsid w:val="000E32C8"/>
    <w:rsid w:val="000E487D"/>
    <w:rsid w:val="000F7B83"/>
    <w:rsid w:val="001010D2"/>
    <w:rsid w:val="00106AF0"/>
    <w:rsid w:val="00123EA4"/>
    <w:rsid w:val="0012506A"/>
    <w:rsid w:val="001267D5"/>
    <w:rsid w:val="00130FDD"/>
    <w:rsid w:val="00141B36"/>
    <w:rsid w:val="00147464"/>
    <w:rsid w:val="00152FC3"/>
    <w:rsid w:val="001537C8"/>
    <w:rsid w:val="00162121"/>
    <w:rsid w:val="00164487"/>
    <w:rsid w:val="001709DA"/>
    <w:rsid w:val="001714F3"/>
    <w:rsid w:val="00172F21"/>
    <w:rsid w:val="00174E0D"/>
    <w:rsid w:val="001A1D97"/>
    <w:rsid w:val="001B0EE5"/>
    <w:rsid w:val="001B3E77"/>
    <w:rsid w:val="001B489F"/>
    <w:rsid w:val="001C295C"/>
    <w:rsid w:val="001C57F1"/>
    <w:rsid w:val="001C59A8"/>
    <w:rsid w:val="001C5A7C"/>
    <w:rsid w:val="001C7170"/>
    <w:rsid w:val="001C7799"/>
    <w:rsid w:val="001D11DA"/>
    <w:rsid w:val="001E232C"/>
    <w:rsid w:val="001E2E31"/>
    <w:rsid w:val="001E5A27"/>
    <w:rsid w:val="001E651B"/>
    <w:rsid w:val="001F0E19"/>
    <w:rsid w:val="002029BB"/>
    <w:rsid w:val="002035C7"/>
    <w:rsid w:val="00203CF9"/>
    <w:rsid w:val="0020432A"/>
    <w:rsid w:val="00212E3A"/>
    <w:rsid w:val="00217343"/>
    <w:rsid w:val="00221938"/>
    <w:rsid w:val="002266C3"/>
    <w:rsid w:val="00227FF7"/>
    <w:rsid w:val="002322CC"/>
    <w:rsid w:val="00234A25"/>
    <w:rsid w:val="0024373D"/>
    <w:rsid w:val="00252749"/>
    <w:rsid w:val="00261E8F"/>
    <w:rsid w:val="00262845"/>
    <w:rsid w:val="00267284"/>
    <w:rsid w:val="00267B15"/>
    <w:rsid w:val="002758D9"/>
    <w:rsid w:val="00277572"/>
    <w:rsid w:val="002844D3"/>
    <w:rsid w:val="002906F2"/>
    <w:rsid w:val="002908C5"/>
    <w:rsid w:val="00291E06"/>
    <w:rsid w:val="00292618"/>
    <w:rsid w:val="002939E5"/>
    <w:rsid w:val="00294A7C"/>
    <w:rsid w:val="002954D8"/>
    <w:rsid w:val="00297BF6"/>
    <w:rsid w:val="00297C74"/>
    <w:rsid w:val="002A0214"/>
    <w:rsid w:val="002A4F26"/>
    <w:rsid w:val="002B108C"/>
    <w:rsid w:val="002B4064"/>
    <w:rsid w:val="002B6A86"/>
    <w:rsid w:val="002C6831"/>
    <w:rsid w:val="002D1BEB"/>
    <w:rsid w:val="002D386E"/>
    <w:rsid w:val="002D4B00"/>
    <w:rsid w:val="002D725F"/>
    <w:rsid w:val="002E2A27"/>
    <w:rsid w:val="002E626D"/>
    <w:rsid w:val="002F01BF"/>
    <w:rsid w:val="002F29AC"/>
    <w:rsid w:val="00301784"/>
    <w:rsid w:val="00301912"/>
    <w:rsid w:val="0030371D"/>
    <w:rsid w:val="00312B8C"/>
    <w:rsid w:val="0032285B"/>
    <w:rsid w:val="00332BCD"/>
    <w:rsid w:val="00341305"/>
    <w:rsid w:val="003533AE"/>
    <w:rsid w:val="00354224"/>
    <w:rsid w:val="00362EB6"/>
    <w:rsid w:val="00362EEB"/>
    <w:rsid w:val="00367DBF"/>
    <w:rsid w:val="0037301B"/>
    <w:rsid w:val="00375623"/>
    <w:rsid w:val="003765BB"/>
    <w:rsid w:val="00381B8F"/>
    <w:rsid w:val="00385E10"/>
    <w:rsid w:val="00386604"/>
    <w:rsid w:val="00387AE3"/>
    <w:rsid w:val="003A184B"/>
    <w:rsid w:val="003A1F77"/>
    <w:rsid w:val="003B2771"/>
    <w:rsid w:val="003B6474"/>
    <w:rsid w:val="003C3EE2"/>
    <w:rsid w:val="003C5F83"/>
    <w:rsid w:val="003D0184"/>
    <w:rsid w:val="003D5E4E"/>
    <w:rsid w:val="003D7EAE"/>
    <w:rsid w:val="003F27B0"/>
    <w:rsid w:val="00404ACF"/>
    <w:rsid w:val="004050AE"/>
    <w:rsid w:val="00411234"/>
    <w:rsid w:val="004132BC"/>
    <w:rsid w:val="0041364E"/>
    <w:rsid w:val="00415BD6"/>
    <w:rsid w:val="00417A34"/>
    <w:rsid w:val="004215C1"/>
    <w:rsid w:val="00421CC2"/>
    <w:rsid w:val="00422DA4"/>
    <w:rsid w:val="0043208D"/>
    <w:rsid w:val="00436F9D"/>
    <w:rsid w:val="00440471"/>
    <w:rsid w:val="00442634"/>
    <w:rsid w:val="00453BCA"/>
    <w:rsid w:val="004604C5"/>
    <w:rsid w:val="00461FE4"/>
    <w:rsid w:val="00464210"/>
    <w:rsid w:val="004658FD"/>
    <w:rsid w:val="004720C8"/>
    <w:rsid w:val="00473683"/>
    <w:rsid w:val="004753AB"/>
    <w:rsid w:val="004A284C"/>
    <w:rsid w:val="004A3034"/>
    <w:rsid w:val="004A3C67"/>
    <w:rsid w:val="004B0F38"/>
    <w:rsid w:val="004B53AA"/>
    <w:rsid w:val="004C1B47"/>
    <w:rsid w:val="004C6F65"/>
    <w:rsid w:val="004D397E"/>
    <w:rsid w:val="004D3C37"/>
    <w:rsid w:val="004D7F90"/>
    <w:rsid w:val="004E13F4"/>
    <w:rsid w:val="004E5A43"/>
    <w:rsid w:val="004F57F5"/>
    <w:rsid w:val="00500640"/>
    <w:rsid w:val="00503B8A"/>
    <w:rsid w:val="005070CA"/>
    <w:rsid w:val="0050711D"/>
    <w:rsid w:val="00507E6F"/>
    <w:rsid w:val="00511585"/>
    <w:rsid w:val="005130DC"/>
    <w:rsid w:val="00525A8F"/>
    <w:rsid w:val="0052728C"/>
    <w:rsid w:val="005329E8"/>
    <w:rsid w:val="00533636"/>
    <w:rsid w:val="005366A6"/>
    <w:rsid w:val="00536E8B"/>
    <w:rsid w:val="005458DA"/>
    <w:rsid w:val="00545DF9"/>
    <w:rsid w:val="0055110E"/>
    <w:rsid w:val="005526C0"/>
    <w:rsid w:val="00553882"/>
    <w:rsid w:val="0055560F"/>
    <w:rsid w:val="00556C51"/>
    <w:rsid w:val="00564964"/>
    <w:rsid w:val="00565BA9"/>
    <w:rsid w:val="0057406D"/>
    <w:rsid w:val="005754E1"/>
    <w:rsid w:val="00585481"/>
    <w:rsid w:val="0059149C"/>
    <w:rsid w:val="00591B5D"/>
    <w:rsid w:val="00595C73"/>
    <w:rsid w:val="00596980"/>
    <w:rsid w:val="00597381"/>
    <w:rsid w:val="005A10CA"/>
    <w:rsid w:val="005C2799"/>
    <w:rsid w:val="005C7253"/>
    <w:rsid w:val="005D17A4"/>
    <w:rsid w:val="005D30B5"/>
    <w:rsid w:val="005D3B7D"/>
    <w:rsid w:val="005E22C7"/>
    <w:rsid w:val="005E31D8"/>
    <w:rsid w:val="005E3506"/>
    <w:rsid w:val="005E5B4E"/>
    <w:rsid w:val="005F197C"/>
    <w:rsid w:val="005F1B0B"/>
    <w:rsid w:val="005F39B1"/>
    <w:rsid w:val="00603362"/>
    <w:rsid w:val="00615A76"/>
    <w:rsid w:val="006206A0"/>
    <w:rsid w:val="006208BE"/>
    <w:rsid w:val="006252BA"/>
    <w:rsid w:val="0062589B"/>
    <w:rsid w:val="00625D6C"/>
    <w:rsid w:val="0062638E"/>
    <w:rsid w:val="00626D6C"/>
    <w:rsid w:val="0063419E"/>
    <w:rsid w:val="006453F2"/>
    <w:rsid w:val="00646783"/>
    <w:rsid w:val="00656B31"/>
    <w:rsid w:val="00661BD4"/>
    <w:rsid w:val="006632D5"/>
    <w:rsid w:val="00663472"/>
    <w:rsid w:val="00663693"/>
    <w:rsid w:val="0066653F"/>
    <w:rsid w:val="00672252"/>
    <w:rsid w:val="00673332"/>
    <w:rsid w:val="0067760B"/>
    <w:rsid w:val="00681C26"/>
    <w:rsid w:val="00684D01"/>
    <w:rsid w:val="00692021"/>
    <w:rsid w:val="0069594E"/>
    <w:rsid w:val="006963CF"/>
    <w:rsid w:val="006967C9"/>
    <w:rsid w:val="00696C1B"/>
    <w:rsid w:val="006A5241"/>
    <w:rsid w:val="006A5378"/>
    <w:rsid w:val="006A7748"/>
    <w:rsid w:val="006B2F04"/>
    <w:rsid w:val="006B3D71"/>
    <w:rsid w:val="006C13EB"/>
    <w:rsid w:val="006C3685"/>
    <w:rsid w:val="006C53F4"/>
    <w:rsid w:val="006D2E08"/>
    <w:rsid w:val="006D3C81"/>
    <w:rsid w:val="006D43D6"/>
    <w:rsid w:val="006D6E06"/>
    <w:rsid w:val="006D71B4"/>
    <w:rsid w:val="006E0445"/>
    <w:rsid w:val="0070099B"/>
    <w:rsid w:val="00702A32"/>
    <w:rsid w:val="00702FDD"/>
    <w:rsid w:val="00711AA0"/>
    <w:rsid w:val="00712939"/>
    <w:rsid w:val="00713011"/>
    <w:rsid w:val="00714CCF"/>
    <w:rsid w:val="00715C2E"/>
    <w:rsid w:val="0071600C"/>
    <w:rsid w:val="0072165B"/>
    <w:rsid w:val="00721A5D"/>
    <w:rsid w:val="007223A4"/>
    <w:rsid w:val="00726508"/>
    <w:rsid w:val="00741BF4"/>
    <w:rsid w:val="00751D06"/>
    <w:rsid w:val="00764E91"/>
    <w:rsid w:val="007665A7"/>
    <w:rsid w:val="00772300"/>
    <w:rsid w:val="0077397C"/>
    <w:rsid w:val="00777BAC"/>
    <w:rsid w:val="00781252"/>
    <w:rsid w:val="0078194F"/>
    <w:rsid w:val="00785C60"/>
    <w:rsid w:val="007926D4"/>
    <w:rsid w:val="00794295"/>
    <w:rsid w:val="007947EA"/>
    <w:rsid w:val="007A2983"/>
    <w:rsid w:val="007A3758"/>
    <w:rsid w:val="007B2C0E"/>
    <w:rsid w:val="007B6B88"/>
    <w:rsid w:val="007B7331"/>
    <w:rsid w:val="007C089F"/>
    <w:rsid w:val="007C35AB"/>
    <w:rsid w:val="007C5C90"/>
    <w:rsid w:val="007D1265"/>
    <w:rsid w:val="007D34EF"/>
    <w:rsid w:val="007D6CC5"/>
    <w:rsid w:val="007D73FC"/>
    <w:rsid w:val="007F36AC"/>
    <w:rsid w:val="007F5C2C"/>
    <w:rsid w:val="00817079"/>
    <w:rsid w:val="008170C4"/>
    <w:rsid w:val="00821F1A"/>
    <w:rsid w:val="00823250"/>
    <w:rsid w:val="00823BCA"/>
    <w:rsid w:val="00823F19"/>
    <w:rsid w:val="00824A18"/>
    <w:rsid w:val="00826D2B"/>
    <w:rsid w:val="0083285D"/>
    <w:rsid w:val="00834767"/>
    <w:rsid w:val="00837B5A"/>
    <w:rsid w:val="008422C1"/>
    <w:rsid w:val="00843C41"/>
    <w:rsid w:val="00844533"/>
    <w:rsid w:val="00846D54"/>
    <w:rsid w:val="00863ED1"/>
    <w:rsid w:val="0086444F"/>
    <w:rsid w:val="00864EBE"/>
    <w:rsid w:val="008836B7"/>
    <w:rsid w:val="0088495C"/>
    <w:rsid w:val="00890FE9"/>
    <w:rsid w:val="00891A71"/>
    <w:rsid w:val="00892C18"/>
    <w:rsid w:val="008A0BA7"/>
    <w:rsid w:val="008A18F5"/>
    <w:rsid w:val="008A6828"/>
    <w:rsid w:val="008A698F"/>
    <w:rsid w:val="008B16F9"/>
    <w:rsid w:val="008B6AAD"/>
    <w:rsid w:val="008C6094"/>
    <w:rsid w:val="008E0A18"/>
    <w:rsid w:val="008E42A8"/>
    <w:rsid w:val="008F1A9B"/>
    <w:rsid w:val="008F224A"/>
    <w:rsid w:val="00905026"/>
    <w:rsid w:val="00906F0F"/>
    <w:rsid w:val="00910A2A"/>
    <w:rsid w:val="009156BC"/>
    <w:rsid w:val="0092102E"/>
    <w:rsid w:val="00925A63"/>
    <w:rsid w:val="0092712C"/>
    <w:rsid w:val="00931342"/>
    <w:rsid w:val="009428D5"/>
    <w:rsid w:val="0094510E"/>
    <w:rsid w:val="00946552"/>
    <w:rsid w:val="00950527"/>
    <w:rsid w:val="0095062F"/>
    <w:rsid w:val="00951919"/>
    <w:rsid w:val="0095380F"/>
    <w:rsid w:val="00954F5D"/>
    <w:rsid w:val="009551D2"/>
    <w:rsid w:val="0096044D"/>
    <w:rsid w:val="0096134D"/>
    <w:rsid w:val="00980ECC"/>
    <w:rsid w:val="00981915"/>
    <w:rsid w:val="009943CB"/>
    <w:rsid w:val="009961D6"/>
    <w:rsid w:val="00997045"/>
    <w:rsid w:val="009A1804"/>
    <w:rsid w:val="009C521E"/>
    <w:rsid w:val="009D5663"/>
    <w:rsid w:val="009D6CA0"/>
    <w:rsid w:val="009D7453"/>
    <w:rsid w:val="009E0F1B"/>
    <w:rsid w:val="009E257A"/>
    <w:rsid w:val="009E6A0A"/>
    <w:rsid w:val="009E7C3D"/>
    <w:rsid w:val="009F4340"/>
    <w:rsid w:val="009F6C89"/>
    <w:rsid w:val="00A01A43"/>
    <w:rsid w:val="00A040A3"/>
    <w:rsid w:val="00A04E14"/>
    <w:rsid w:val="00A11966"/>
    <w:rsid w:val="00A11BFC"/>
    <w:rsid w:val="00A12591"/>
    <w:rsid w:val="00A15ABD"/>
    <w:rsid w:val="00A2007D"/>
    <w:rsid w:val="00A21590"/>
    <w:rsid w:val="00A249F9"/>
    <w:rsid w:val="00A34522"/>
    <w:rsid w:val="00A40852"/>
    <w:rsid w:val="00A55273"/>
    <w:rsid w:val="00A55CF4"/>
    <w:rsid w:val="00A6042C"/>
    <w:rsid w:val="00A60ECC"/>
    <w:rsid w:val="00A63BCD"/>
    <w:rsid w:val="00A664E7"/>
    <w:rsid w:val="00A67A75"/>
    <w:rsid w:val="00A7041D"/>
    <w:rsid w:val="00A7477B"/>
    <w:rsid w:val="00A747CE"/>
    <w:rsid w:val="00A80ED6"/>
    <w:rsid w:val="00A8238C"/>
    <w:rsid w:val="00A82799"/>
    <w:rsid w:val="00A82ABD"/>
    <w:rsid w:val="00A8502A"/>
    <w:rsid w:val="00A940EF"/>
    <w:rsid w:val="00AA3A08"/>
    <w:rsid w:val="00AA566B"/>
    <w:rsid w:val="00AB0472"/>
    <w:rsid w:val="00AB07C1"/>
    <w:rsid w:val="00AB43E1"/>
    <w:rsid w:val="00AC1EF5"/>
    <w:rsid w:val="00AC2581"/>
    <w:rsid w:val="00AC484B"/>
    <w:rsid w:val="00AC4ADB"/>
    <w:rsid w:val="00AD3A51"/>
    <w:rsid w:val="00AD6D18"/>
    <w:rsid w:val="00AD7602"/>
    <w:rsid w:val="00AE4832"/>
    <w:rsid w:val="00AE5553"/>
    <w:rsid w:val="00AE675A"/>
    <w:rsid w:val="00B03535"/>
    <w:rsid w:val="00B10104"/>
    <w:rsid w:val="00B11F29"/>
    <w:rsid w:val="00B2075C"/>
    <w:rsid w:val="00B214F2"/>
    <w:rsid w:val="00B30BC3"/>
    <w:rsid w:val="00B30D8A"/>
    <w:rsid w:val="00B313F4"/>
    <w:rsid w:val="00B35B28"/>
    <w:rsid w:val="00B41BF0"/>
    <w:rsid w:val="00B45E96"/>
    <w:rsid w:val="00B64A83"/>
    <w:rsid w:val="00B710A9"/>
    <w:rsid w:val="00B9041B"/>
    <w:rsid w:val="00B9573B"/>
    <w:rsid w:val="00B964C9"/>
    <w:rsid w:val="00BA6389"/>
    <w:rsid w:val="00BA72D1"/>
    <w:rsid w:val="00BB3D5F"/>
    <w:rsid w:val="00BB5359"/>
    <w:rsid w:val="00BB5C54"/>
    <w:rsid w:val="00BB7FB1"/>
    <w:rsid w:val="00BC583E"/>
    <w:rsid w:val="00BC6559"/>
    <w:rsid w:val="00BD03F0"/>
    <w:rsid w:val="00BD2787"/>
    <w:rsid w:val="00BD4AA9"/>
    <w:rsid w:val="00BE1F47"/>
    <w:rsid w:val="00BE58E6"/>
    <w:rsid w:val="00BF79F7"/>
    <w:rsid w:val="00C01078"/>
    <w:rsid w:val="00C03C80"/>
    <w:rsid w:val="00C06B91"/>
    <w:rsid w:val="00C14751"/>
    <w:rsid w:val="00C1663F"/>
    <w:rsid w:val="00C2022B"/>
    <w:rsid w:val="00C24A1C"/>
    <w:rsid w:val="00C255F3"/>
    <w:rsid w:val="00C37B86"/>
    <w:rsid w:val="00C40E18"/>
    <w:rsid w:val="00C5321C"/>
    <w:rsid w:val="00C5418B"/>
    <w:rsid w:val="00C554BA"/>
    <w:rsid w:val="00C56A9A"/>
    <w:rsid w:val="00C61298"/>
    <w:rsid w:val="00C626E3"/>
    <w:rsid w:val="00C66646"/>
    <w:rsid w:val="00C74107"/>
    <w:rsid w:val="00C7457A"/>
    <w:rsid w:val="00C77530"/>
    <w:rsid w:val="00C77A84"/>
    <w:rsid w:val="00C84907"/>
    <w:rsid w:val="00C946C3"/>
    <w:rsid w:val="00C94785"/>
    <w:rsid w:val="00C975DC"/>
    <w:rsid w:val="00CA4701"/>
    <w:rsid w:val="00CA4EB8"/>
    <w:rsid w:val="00CB74E7"/>
    <w:rsid w:val="00CC3937"/>
    <w:rsid w:val="00CC486D"/>
    <w:rsid w:val="00CC4E4E"/>
    <w:rsid w:val="00CC51D5"/>
    <w:rsid w:val="00CC599E"/>
    <w:rsid w:val="00CC7303"/>
    <w:rsid w:val="00CD29AA"/>
    <w:rsid w:val="00CE0385"/>
    <w:rsid w:val="00CE3A0D"/>
    <w:rsid w:val="00CE5FBE"/>
    <w:rsid w:val="00CF3F3B"/>
    <w:rsid w:val="00CF7358"/>
    <w:rsid w:val="00D14CF3"/>
    <w:rsid w:val="00D1661D"/>
    <w:rsid w:val="00D204D4"/>
    <w:rsid w:val="00D22AFD"/>
    <w:rsid w:val="00D3092B"/>
    <w:rsid w:val="00D313C4"/>
    <w:rsid w:val="00D3152B"/>
    <w:rsid w:val="00D37677"/>
    <w:rsid w:val="00D47265"/>
    <w:rsid w:val="00D511EF"/>
    <w:rsid w:val="00D56AC6"/>
    <w:rsid w:val="00D57470"/>
    <w:rsid w:val="00D61851"/>
    <w:rsid w:val="00D71A00"/>
    <w:rsid w:val="00D71CF1"/>
    <w:rsid w:val="00D805D6"/>
    <w:rsid w:val="00D8569D"/>
    <w:rsid w:val="00D86B61"/>
    <w:rsid w:val="00D870A1"/>
    <w:rsid w:val="00D870FF"/>
    <w:rsid w:val="00D95C60"/>
    <w:rsid w:val="00D96258"/>
    <w:rsid w:val="00DA2FCD"/>
    <w:rsid w:val="00DA5C12"/>
    <w:rsid w:val="00DA70B5"/>
    <w:rsid w:val="00DB056E"/>
    <w:rsid w:val="00DB753B"/>
    <w:rsid w:val="00DC2DA5"/>
    <w:rsid w:val="00DC5D75"/>
    <w:rsid w:val="00DD07BE"/>
    <w:rsid w:val="00DD5AD1"/>
    <w:rsid w:val="00DD64C3"/>
    <w:rsid w:val="00DE1BB0"/>
    <w:rsid w:val="00DE6D38"/>
    <w:rsid w:val="00DF059D"/>
    <w:rsid w:val="00DF5E1E"/>
    <w:rsid w:val="00E06017"/>
    <w:rsid w:val="00E10EE4"/>
    <w:rsid w:val="00E1366E"/>
    <w:rsid w:val="00E13EBA"/>
    <w:rsid w:val="00E17C16"/>
    <w:rsid w:val="00E23C1F"/>
    <w:rsid w:val="00E2476D"/>
    <w:rsid w:val="00E2553A"/>
    <w:rsid w:val="00E33D0D"/>
    <w:rsid w:val="00E33EE0"/>
    <w:rsid w:val="00E42E06"/>
    <w:rsid w:val="00E46CD9"/>
    <w:rsid w:val="00E552F7"/>
    <w:rsid w:val="00E64939"/>
    <w:rsid w:val="00E65AD3"/>
    <w:rsid w:val="00E675A8"/>
    <w:rsid w:val="00E67D37"/>
    <w:rsid w:val="00E67DF8"/>
    <w:rsid w:val="00E70152"/>
    <w:rsid w:val="00E8022D"/>
    <w:rsid w:val="00E80799"/>
    <w:rsid w:val="00E865C0"/>
    <w:rsid w:val="00E8793A"/>
    <w:rsid w:val="00E90570"/>
    <w:rsid w:val="00E959D3"/>
    <w:rsid w:val="00EA374E"/>
    <w:rsid w:val="00EA3958"/>
    <w:rsid w:val="00EB09B0"/>
    <w:rsid w:val="00EB430A"/>
    <w:rsid w:val="00EB54A1"/>
    <w:rsid w:val="00EC369C"/>
    <w:rsid w:val="00EC6F9D"/>
    <w:rsid w:val="00ED09B5"/>
    <w:rsid w:val="00ED1916"/>
    <w:rsid w:val="00ED3238"/>
    <w:rsid w:val="00ED38E8"/>
    <w:rsid w:val="00ED43A6"/>
    <w:rsid w:val="00ED4C70"/>
    <w:rsid w:val="00ED5EE7"/>
    <w:rsid w:val="00ED65BB"/>
    <w:rsid w:val="00EE1387"/>
    <w:rsid w:val="00EE5FE8"/>
    <w:rsid w:val="00EF77F6"/>
    <w:rsid w:val="00F03F41"/>
    <w:rsid w:val="00F051D6"/>
    <w:rsid w:val="00F11C55"/>
    <w:rsid w:val="00F12709"/>
    <w:rsid w:val="00F20DCD"/>
    <w:rsid w:val="00F31659"/>
    <w:rsid w:val="00F36C36"/>
    <w:rsid w:val="00F42F9B"/>
    <w:rsid w:val="00F44075"/>
    <w:rsid w:val="00F50C9E"/>
    <w:rsid w:val="00F609B6"/>
    <w:rsid w:val="00F715E2"/>
    <w:rsid w:val="00F71658"/>
    <w:rsid w:val="00F74A7D"/>
    <w:rsid w:val="00F803DB"/>
    <w:rsid w:val="00F824DB"/>
    <w:rsid w:val="00F87CDD"/>
    <w:rsid w:val="00F92A37"/>
    <w:rsid w:val="00F95C5E"/>
    <w:rsid w:val="00FA03AB"/>
    <w:rsid w:val="00FA0FF8"/>
    <w:rsid w:val="00FB1DE9"/>
    <w:rsid w:val="00FB4DA4"/>
    <w:rsid w:val="00FC0D60"/>
    <w:rsid w:val="00FC3494"/>
    <w:rsid w:val="00FC707D"/>
    <w:rsid w:val="00FD1554"/>
    <w:rsid w:val="00FE1458"/>
    <w:rsid w:val="00FE3EAB"/>
    <w:rsid w:val="00FE5E5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7CF73"/>
  <w15:chartTrackingRefBased/>
  <w15:docId w15:val="{CA4C3976-1CBF-415C-83D7-239B5764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suppressAutoHyphens/>
      <w:jc w:val="center"/>
      <w:outlineLvl w:val="0"/>
    </w:pPr>
    <w:rPr>
      <w:b/>
    </w:rPr>
  </w:style>
  <w:style w:type="paragraph" w:styleId="berschrift2">
    <w:name w:val="heading 2"/>
    <w:basedOn w:val="Standard"/>
    <w:next w:val="Standard"/>
    <w:qFormat/>
    <w:pPr>
      <w:keepNext/>
      <w:tabs>
        <w:tab w:val="left" w:pos="0"/>
        <w:tab w:val="left" w:pos="284"/>
      </w:tabs>
      <w:suppressAutoHyphens/>
      <w:outlineLvl w:val="1"/>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4"/>
    </w:rPr>
  </w:style>
  <w:style w:type="character" w:styleId="Endnotenzeichen">
    <w:name w:val="endnote reference"/>
    <w:semiHidden/>
    <w:rPr>
      <w:sz w:val="20"/>
      <w:vertAlign w:val="superscript"/>
    </w:rPr>
  </w:style>
  <w:style w:type="paragraph" w:styleId="Funotentext">
    <w:name w:val="footnote text"/>
    <w:basedOn w:val="Standard"/>
    <w:semiHidden/>
    <w:rPr>
      <w:sz w:val="24"/>
    </w:rPr>
  </w:style>
  <w:style w:type="character" w:styleId="Funotenzeichen">
    <w:name w:val="footnote reference"/>
    <w:semiHidden/>
    <w:rPr>
      <w:sz w:val="20"/>
      <w:vertAlign w:val="superscript"/>
    </w:rPr>
  </w:style>
  <w:style w:type="paragraph" w:styleId="Verzeichnis1">
    <w:name w:val="toc 1"/>
    <w:basedOn w:val="Standard"/>
    <w:next w:val="Standard"/>
    <w:semiHidden/>
    <w:pPr>
      <w:tabs>
        <w:tab w:val="right" w:leader="dot" w:pos="9360"/>
      </w:tabs>
      <w:suppressAutoHyphens/>
      <w:spacing w:before="480"/>
      <w:ind w:left="720" w:right="720" w:hanging="720"/>
    </w:pPr>
  </w:style>
  <w:style w:type="paragraph" w:styleId="Verzeichnis2">
    <w:name w:val="toc 2"/>
    <w:basedOn w:val="Standard"/>
    <w:next w:val="Standard"/>
    <w:semiHidden/>
    <w:pPr>
      <w:tabs>
        <w:tab w:val="right" w:leader="dot" w:pos="9360"/>
      </w:tabs>
      <w:suppressAutoHyphens/>
      <w:ind w:left="1440" w:right="720" w:hanging="720"/>
    </w:pPr>
  </w:style>
  <w:style w:type="paragraph" w:styleId="Verzeichnis3">
    <w:name w:val="toc 3"/>
    <w:basedOn w:val="Standard"/>
    <w:next w:val="Standard"/>
    <w:semiHidden/>
    <w:pPr>
      <w:tabs>
        <w:tab w:val="right" w:leader="dot" w:pos="9360"/>
      </w:tabs>
      <w:suppressAutoHyphens/>
      <w:ind w:left="2160" w:right="720" w:hanging="720"/>
    </w:pPr>
  </w:style>
  <w:style w:type="paragraph" w:styleId="Verzeichnis4">
    <w:name w:val="toc 4"/>
    <w:basedOn w:val="Standard"/>
    <w:next w:val="Standard"/>
    <w:semiHidden/>
    <w:pPr>
      <w:tabs>
        <w:tab w:val="right" w:leader="dot" w:pos="9360"/>
      </w:tabs>
      <w:suppressAutoHyphens/>
      <w:ind w:left="2880" w:right="720" w:hanging="720"/>
    </w:pPr>
  </w:style>
  <w:style w:type="paragraph" w:styleId="Verzeichnis5">
    <w:name w:val="toc 5"/>
    <w:basedOn w:val="Standard"/>
    <w:next w:val="Standard"/>
    <w:semiHidden/>
    <w:pPr>
      <w:tabs>
        <w:tab w:val="right" w:leader="dot" w:pos="9360"/>
      </w:tabs>
      <w:suppressAutoHyphens/>
      <w:ind w:left="3600" w:right="720" w:hanging="720"/>
    </w:pPr>
  </w:style>
  <w:style w:type="paragraph" w:styleId="Verzeichnis6">
    <w:name w:val="toc 6"/>
    <w:basedOn w:val="Standard"/>
    <w:next w:val="Standard"/>
    <w:semiHidden/>
    <w:pPr>
      <w:tabs>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right" w:pos="9360"/>
      </w:tabs>
      <w:suppressAutoHyphens/>
      <w:ind w:left="720" w:hanging="720"/>
    </w:pPr>
  </w:style>
  <w:style w:type="paragraph" w:styleId="Verzeichnis9">
    <w:name w:val="toc 9"/>
    <w:basedOn w:val="Standard"/>
    <w:next w:val="Standard"/>
    <w:semiHidden/>
    <w:pPr>
      <w:tabs>
        <w:tab w:val="right" w:leader="dot" w:pos="9360"/>
      </w:tabs>
      <w:suppressAutoHyphens/>
      <w:ind w:left="720" w:hanging="720"/>
    </w:pPr>
  </w:style>
  <w:style w:type="paragraph" w:styleId="Index1">
    <w:name w:val="index 1"/>
    <w:basedOn w:val="Standard"/>
    <w:next w:val="Standard"/>
    <w:semiHidden/>
    <w:pPr>
      <w:tabs>
        <w:tab w:val="right" w:leader="dot" w:pos="9360"/>
      </w:tabs>
      <w:suppressAutoHyphens/>
      <w:ind w:left="1440" w:right="720" w:hanging="1440"/>
    </w:pPr>
  </w:style>
  <w:style w:type="paragraph" w:styleId="Index2">
    <w:name w:val="index 2"/>
    <w:basedOn w:val="Standard"/>
    <w:next w:val="Standard"/>
    <w:semiHidden/>
    <w:pPr>
      <w:tabs>
        <w:tab w:val="right" w:leader="dot" w:pos="9360"/>
      </w:tabs>
      <w:suppressAutoHyphens/>
      <w:ind w:left="1440" w:right="720" w:hanging="720"/>
    </w:pPr>
  </w:style>
  <w:style w:type="paragraph" w:customStyle="1" w:styleId="toa">
    <w:name w:val="toa"/>
    <w:basedOn w:val="Standard"/>
    <w:pPr>
      <w:tabs>
        <w:tab w:val="right" w:pos="9360"/>
      </w:tabs>
      <w:suppressAutoHyphens/>
    </w:pPr>
  </w:style>
  <w:style w:type="paragraph" w:styleId="Beschriftung">
    <w:name w:val="caption"/>
    <w:basedOn w:val="Standard"/>
    <w:next w:val="Standard"/>
    <w:qFormat/>
    <w:rPr>
      <w:sz w:val="24"/>
    </w:rPr>
  </w:style>
  <w:style w:type="character" w:customStyle="1" w:styleId="EquationCaption">
    <w:name w:val="_Equation Caption"/>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paragraph" w:styleId="Textkrper">
    <w:name w:val="Body Text"/>
    <w:basedOn w:val="Standard"/>
    <w:pPr>
      <w:tabs>
        <w:tab w:val="left" w:pos="0"/>
        <w:tab w:val="left" w:pos="284"/>
      </w:tabs>
      <w:suppressAutoHyphens/>
    </w:pPr>
    <w:rPr>
      <w:b/>
      <w:sz w:val="16"/>
    </w:rPr>
  </w:style>
  <w:style w:type="character" w:styleId="Seitenzahl">
    <w:name w:val="page number"/>
    <w:basedOn w:val="Absatz-Standardschriftart"/>
  </w:style>
  <w:style w:type="paragraph" w:styleId="Textkrper2">
    <w:name w:val="Body Text 2"/>
    <w:basedOn w:val="Standard"/>
    <w:pPr>
      <w:suppressAutoHyphens/>
      <w:jc w:val="center"/>
    </w:pPr>
    <w:rPr>
      <w:rFonts w:ascii="Arial" w:hAnsi="Arial"/>
      <w:snapToGrid w:val="0"/>
      <w:sz w:val="22"/>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7B6B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dejong">
    <w:name w:val="aaa_dejong"/>
    <w:basedOn w:val="Standard"/>
    <w:autoRedefine/>
    <w:rsid w:val="009C521E"/>
    <w:pPr>
      <w:tabs>
        <w:tab w:val="left" w:pos="851"/>
      </w:tabs>
      <w:jc w:val="both"/>
    </w:pPr>
    <w:rPr>
      <w:rFonts w:ascii="Arial" w:hAnsi="Arial" w:cs="Arial"/>
      <w:sz w:val="18"/>
    </w:rPr>
  </w:style>
  <w:style w:type="paragraph" w:customStyle="1" w:styleId="aaadejongAufzStrich">
    <w:name w:val="aaa_dejong_Aufz_Strich"/>
    <w:basedOn w:val="Standard"/>
    <w:autoRedefine/>
    <w:pPr>
      <w:widowControl/>
      <w:numPr>
        <w:numId w:val="6"/>
      </w:numPr>
      <w:tabs>
        <w:tab w:val="left" w:pos="851"/>
      </w:tabs>
      <w:ind w:left="1304" w:hanging="453"/>
      <w:jc w:val="both"/>
    </w:pPr>
    <w:rPr>
      <w:rFonts w:ascii="Arial" w:hAnsi="Arial" w:cs="Arial"/>
      <w:sz w:val="18"/>
    </w:rPr>
  </w:style>
  <w:style w:type="paragraph" w:customStyle="1" w:styleId="aaadejongfett">
    <w:name w:val="aaa_dejong_fett"/>
    <w:basedOn w:val="Standard"/>
    <w:autoRedefine/>
    <w:pPr>
      <w:tabs>
        <w:tab w:val="left" w:pos="851"/>
      </w:tabs>
      <w:ind w:left="709" w:hanging="709"/>
      <w:jc w:val="both"/>
    </w:pPr>
    <w:rPr>
      <w:rFonts w:ascii="Arial" w:hAnsi="Arial" w:cs="Arial"/>
      <w:b/>
      <w:sz w:val="18"/>
    </w:rPr>
  </w:style>
  <w:style w:type="character" w:customStyle="1" w:styleId="aaadejongfettZchn">
    <w:name w:val="aaa_dejong_fett Zchn"/>
    <w:rPr>
      <w:rFonts w:ascii="Arial" w:hAnsi="Arial" w:cs="Arial"/>
      <w:b/>
      <w:noProof w:val="0"/>
      <w:sz w:val="18"/>
      <w:lang w:val="de-DE" w:eastAsia="de-DE" w:bidi="ar-SA"/>
    </w:rPr>
  </w:style>
  <w:style w:type="character" w:styleId="Kommentarzeichen">
    <w:name w:val="annotation reference"/>
    <w:rsid w:val="00764E91"/>
    <w:rPr>
      <w:sz w:val="16"/>
      <w:szCs w:val="16"/>
    </w:rPr>
  </w:style>
  <w:style w:type="paragraph" w:styleId="Kommentartext">
    <w:name w:val="annotation text"/>
    <w:basedOn w:val="Standard"/>
    <w:link w:val="KommentartextZchn"/>
    <w:rsid w:val="00764E91"/>
  </w:style>
  <w:style w:type="character" w:customStyle="1" w:styleId="KommentartextZchn">
    <w:name w:val="Kommentartext Zchn"/>
    <w:basedOn w:val="Absatz-Standardschriftart"/>
    <w:link w:val="Kommentartext"/>
    <w:rsid w:val="00764E91"/>
  </w:style>
  <w:style w:type="paragraph" w:styleId="Kommentarthema">
    <w:name w:val="annotation subject"/>
    <w:basedOn w:val="Kommentartext"/>
    <w:next w:val="Kommentartext"/>
    <w:link w:val="KommentarthemaZchn"/>
    <w:rsid w:val="00764E91"/>
    <w:rPr>
      <w:b/>
      <w:bCs/>
    </w:rPr>
  </w:style>
  <w:style w:type="character" w:customStyle="1" w:styleId="KommentarthemaZchn">
    <w:name w:val="Kommentarthema Zchn"/>
    <w:link w:val="Kommentarthema"/>
    <w:rsid w:val="00764E91"/>
    <w:rPr>
      <w:b/>
      <w:bCs/>
    </w:rPr>
  </w:style>
  <w:style w:type="paragraph" w:styleId="berarbeitung">
    <w:name w:val="Revision"/>
    <w:hidden/>
    <w:uiPriority w:val="99"/>
    <w:semiHidden/>
    <w:rsid w:val="00172F21"/>
  </w:style>
  <w:style w:type="character" w:styleId="Hyperlink">
    <w:name w:val="Hyperlink"/>
    <w:rsid w:val="00442634"/>
    <w:rPr>
      <w:color w:val="0563C1"/>
      <w:u w:val="single"/>
    </w:rPr>
  </w:style>
  <w:style w:type="character" w:styleId="NichtaufgelsteErwhnung">
    <w:name w:val="Unresolved Mention"/>
    <w:uiPriority w:val="99"/>
    <w:semiHidden/>
    <w:unhideWhenUsed/>
    <w:rsid w:val="00442634"/>
    <w:rPr>
      <w:color w:val="605E5C"/>
      <w:shd w:val="clear" w:color="auto" w:fill="E1DFDD"/>
    </w:rPr>
  </w:style>
  <w:style w:type="paragraph" w:styleId="Listenabsatz">
    <w:name w:val="List Paragraph"/>
    <w:basedOn w:val="Standard"/>
    <w:uiPriority w:val="34"/>
    <w:qFormat/>
    <w:rsid w:val="00D31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C223BB96C84F4E947FDAD2FC42D1FC" ma:contentTypeVersion="20" ma:contentTypeDescription="Ein neues Dokument erstellen." ma:contentTypeScope="" ma:versionID="cd71fc374322b8bb67e28c3170daf4f6">
  <xsd:schema xmlns:xsd="http://www.w3.org/2001/XMLSchema" xmlns:xs="http://www.w3.org/2001/XMLSchema" xmlns:p="http://schemas.microsoft.com/office/2006/metadata/properties" xmlns:ns2="b5539286-5ee8-44bc-baa4-0e2ff02f6573" xmlns:ns3="7b005ea8-45a7-4705-82f0-6b1ce8aaff7b" targetNamespace="http://schemas.microsoft.com/office/2006/metadata/properties" ma:root="true" ma:fieldsID="ed058c828d98cfab149c17ef5cd61a3c" ns2:_="" ns3:_="">
    <xsd:import namespace="b5539286-5ee8-44bc-baa4-0e2ff02f6573"/>
    <xsd:import namespace="7b005ea8-45a7-4705-82f0-6b1ce8aaf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Or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39286-5ee8-44bc-baa4-0e2ff02f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510aa0-957d-4b1b-ad12-f5c24380f8c5" ma:termSetId="09814cd3-568e-fe90-9814-8d621ff8fb84" ma:anchorId="fba54fb3-c3e1-fe81-a776-ca4b69148c4d" ma:open="true" ma:isKeyword="false">
      <xsd:complexType>
        <xsd:sequence>
          <xsd:element ref="pc:Terms" minOccurs="0" maxOccurs="1"/>
        </xsd:sequence>
      </xsd:complexType>
    </xsd:element>
    <xsd:element name="Ort" ma:index="24" nillable="true" ma:displayName="Ort" ma:format="Dropdown" ma:internalName="Or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05ea8-45a7-4705-82f0-6b1ce8aaff7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1d73398-dc50-4b55-a3a1-aca659f7df72}" ma:internalName="TaxCatchAll" ma:showField="CatchAllData" ma:web="7b005ea8-45a7-4705-82f0-6b1ce8aa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005ea8-45a7-4705-82f0-6b1ce8aaff7b" xsi:nil="true"/>
    <lcf76f155ced4ddcb4097134ff3c332f xmlns="b5539286-5ee8-44bc-baa4-0e2ff02f6573">
      <Terms xmlns="http://schemas.microsoft.com/office/infopath/2007/PartnerControls"/>
    </lcf76f155ced4ddcb4097134ff3c332f>
    <Ort xmlns="b5539286-5ee8-44bc-baa4-0e2ff02f6573" xsi:nil="true"/>
  </documentManagement>
</p:properties>
</file>

<file path=customXml/itemProps1.xml><?xml version="1.0" encoding="utf-8"?>
<ds:datastoreItem xmlns:ds="http://schemas.openxmlformats.org/officeDocument/2006/customXml" ds:itemID="{640DD44D-9E50-4C9F-9CE8-DDE0DF7485CD}">
  <ds:schemaRefs>
    <ds:schemaRef ds:uri="http://schemas.openxmlformats.org/officeDocument/2006/bibliography"/>
  </ds:schemaRefs>
</ds:datastoreItem>
</file>

<file path=customXml/itemProps2.xml><?xml version="1.0" encoding="utf-8"?>
<ds:datastoreItem xmlns:ds="http://schemas.openxmlformats.org/officeDocument/2006/customXml" ds:itemID="{7B1D9D54-6D7B-49AF-8C0C-5A889E3BF980}">
  <ds:schemaRefs>
    <ds:schemaRef ds:uri="http://schemas.microsoft.com/sharepoint/v3/contenttype/forms"/>
  </ds:schemaRefs>
</ds:datastoreItem>
</file>

<file path=customXml/itemProps3.xml><?xml version="1.0" encoding="utf-8"?>
<ds:datastoreItem xmlns:ds="http://schemas.openxmlformats.org/officeDocument/2006/customXml" ds:itemID="{7A505BEE-B7CE-4C0D-9C33-F08C1E43F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39286-5ee8-44bc-baa4-0e2ff02f6573"/>
    <ds:schemaRef ds:uri="7b005ea8-45a7-4705-82f0-6b1ce8aa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4A42E-E9D9-47F2-BD8B-743C6DC450FF}">
  <ds:schemaRefs>
    <ds:schemaRef ds:uri="http://schemas.microsoft.com/office/2006/metadata/properties"/>
    <ds:schemaRef ds:uri="http://schemas.microsoft.com/office/infopath/2007/PartnerControls"/>
    <ds:schemaRef ds:uri="7b005ea8-45a7-4705-82f0-6b1ce8aaff7b"/>
    <ds:schemaRef ds:uri="b5539286-5ee8-44bc-baa4-0e2ff02f65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1168</Words>
  <Characters>7363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GDV</vt:lpstr>
    </vt:vector>
  </TitlesOfParts>
  <Company>GDV - Büro Hamburg</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GDV</dc:title>
  <dc:subject/>
  <dc:creator>GDV</dc:creator>
  <cp:keywords/>
  <cp:lastModifiedBy>Julia Rudolph</cp:lastModifiedBy>
  <cp:revision>5</cp:revision>
  <cp:lastPrinted>2026-03-31T19:54:00Z</cp:lastPrinted>
  <dcterms:created xsi:type="dcterms:W3CDTF">2026-06-19T06:04:00Z</dcterms:created>
  <dcterms:modified xsi:type="dcterms:W3CDTF">2026-06-19T11:33:00Z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0x01010001C223BB96C84F4E947FDAD2FC42D1FC</vt:lpwstr>
  </property>
</Properties>
</file>