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840A" w14:textId="77777777" w:rsidR="00F51B22" w:rsidRDefault="00F51B22" w:rsidP="006452A6">
      <w:pPr>
        <w:suppressAutoHyphens/>
        <w:jc w:val="center"/>
        <w:rPr>
          <w:rFonts w:ascii="Arial" w:hAnsi="Arial"/>
        </w:rPr>
      </w:pPr>
    </w:p>
    <w:p w14:paraId="6E22302C" w14:textId="77777777" w:rsidR="00F51B22" w:rsidRDefault="00F51B22" w:rsidP="006452A6">
      <w:pPr>
        <w:suppressAutoHyphens/>
        <w:jc w:val="center"/>
        <w:rPr>
          <w:rFonts w:ascii="Arial" w:hAnsi="Arial"/>
        </w:rPr>
      </w:pPr>
    </w:p>
    <w:p w14:paraId="309EFF32" w14:textId="77777777" w:rsidR="00F51B22" w:rsidRPr="00620BA1" w:rsidRDefault="006452A6" w:rsidP="006452A6">
      <w:pPr>
        <w:suppressAutoHyphens/>
        <w:jc w:val="center"/>
        <w:rPr>
          <w:rFonts w:ascii="Arial" w:hAnsi="Arial" w:cs="Arial"/>
          <w:b/>
          <w:sz w:val="24"/>
        </w:rPr>
      </w:pPr>
      <w:r w:rsidRPr="00620BA1">
        <w:rPr>
          <w:rFonts w:ascii="Arial" w:eastAsia="Arial" w:hAnsi="Arial" w:cs="Arial"/>
          <w:b/>
          <w:sz w:val="24"/>
          <w:lang w:bidi="en-GB"/>
        </w:rPr>
        <w:t>DTV Cargo Insurance Conditions 2000/2011</w:t>
      </w:r>
    </w:p>
    <w:p w14:paraId="5EB0FAB4" w14:textId="77777777" w:rsidR="00F51B22" w:rsidRPr="00620BA1" w:rsidRDefault="00F51B22" w:rsidP="006452A6">
      <w:pPr>
        <w:suppressAutoHyphens/>
        <w:jc w:val="center"/>
        <w:rPr>
          <w:rFonts w:ascii="Arial" w:hAnsi="Arial" w:cs="Arial"/>
        </w:rPr>
      </w:pPr>
    </w:p>
    <w:p w14:paraId="468EA78D" w14:textId="77777777" w:rsidR="00F51B22" w:rsidRPr="00620BA1" w:rsidRDefault="004B6B0B" w:rsidP="006452A6">
      <w:pPr>
        <w:suppressAutoHyphens/>
        <w:jc w:val="center"/>
        <w:rPr>
          <w:rFonts w:ascii="Arial" w:hAnsi="Arial"/>
          <w:b/>
          <w:sz w:val="24"/>
        </w:rPr>
      </w:pPr>
      <w:r w:rsidRPr="00620BA1">
        <w:rPr>
          <w:rFonts w:ascii="Arial" w:eastAsia="Arial" w:hAnsi="Arial" w:cs="Arial"/>
          <w:b/>
          <w:sz w:val="24"/>
          <w:lang w:bidi="en-GB"/>
        </w:rPr>
        <w:t>(DTV Cargo 2000/2011)</w:t>
      </w:r>
    </w:p>
    <w:p w14:paraId="69BEB618" w14:textId="77777777" w:rsidR="00F51B22" w:rsidRPr="00620BA1" w:rsidRDefault="00F51B22" w:rsidP="006452A6">
      <w:pPr>
        <w:suppressAutoHyphens/>
        <w:jc w:val="center"/>
        <w:rPr>
          <w:rFonts w:ascii="Arial" w:hAnsi="Arial"/>
        </w:rPr>
      </w:pPr>
    </w:p>
    <w:p w14:paraId="545CA9CF" w14:textId="77777777" w:rsidR="00F51B22" w:rsidRPr="00620BA1" w:rsidRDefault="00F51B22" w:rsidP="006452A6">
      <w:pPr>
        <w:suppressAutoHyphens/>
        <w:jc w:val="center"/>
        <w:rPr>
          <w:rFonts w:ascii="Arial" w:hAnsi="Arial"/>
        </w:rPr>
      </w:pPr>
    </w:p>
    <w:p w14:paraId="01EB440B" w14:textId="77777777" w:rsidR="00F51B22" w:rsidRPr="00620BA1" w:rsidRDefault="006452A6" w:rsidP="004B6B0B">
      <w:pPr>
        <w:jc w:val="center"/>
        <w:rPr>
          <w:rFonts w:ascii="Arial" w:hAnsi="Arial"/>
          <w:b/>
          <w:sz w:val="28"/>
        </w:rPr>
      </w:pPr>
      <w:r w:rsidRPr="00620BA1">
        <w:rPr>
          <w:rFonts w:ascii="Arial" w:eastAsia="Arial" w:hAnsi="Arial" w:cs="Arial"/>
          <w:b/>
          <w:sz w:val="28"/>
          <w:lang w:bidi="en-GB"/>
        </w:rPr>
        <w:t>Confiscation Clause</w:t>
      </w:r>
    </w:p>
    <w:p w14:paraId="399E054E" w14:textId="77777777" w:rsidR="00F51B22" w:rsidRPr="00620BA1" w:rsidRDefault="00F51B22" w:rsidP="004B6B0B">
      <w:pPr>
        <w:jc w:val="center"/>
        <w:rPr>
          <w:rFonts w:ascii="Arial" w:hAnsi="Arial"/>
        </w:rPr>
      </w:pPr>
    </w:p>
    <w:p w14:paraId="3F9C8737" w14:textId="53843B09" w:rsidR="00620BA1" w:rsidRPr="006854AE" w:rsidRDefault="00617DA5" w:rsidP="004B6B0B">
      <w:pPr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en-GB"/>
        </w:rPr>
        <w:t xml:space="preserve">Version </w:t>
      </w:r>
      <w:r w:rsidR="00620BA1" w:rsidRPr="006854AE">
        <w:rPr>
          <w:rFonts w:ascii="Arial" w:eastAsia="Arial" w:hAnsi="Arial" w:cs="Arial"/>
          <w:b/>
          <w:sz w:val="24"/>
          <w:szCs w:val="24"/>
          <w:lang w:bidi="en-GB"/>
        </w:rPr>
        <w:t>January 2026</w:t>
      </w:r>
    </w:p>
    <w:p w14:paraId="7E3E5AB9" w14:textId="77777777" w:rsidR="00F51B22" w:rsidRPr="00620BA1" w:rsidRDefault="00F51B22" w:rsidP="004B6B0B">
      <w:pPr>
        <w:jc w:val="center"/>
        <w:rPr>
          <w:rFonts w:ascii="Arial" w:hAnsi="Arial"/>
        </w:rPr>
      </w:pPr>
    </w:p>
    <w:p w14:paraId="3D1074CC" w14:textId="77777777" w:rsidR="00EB6100" w:rsidRPr="00620BA1" w:rsidRDefault="00EB6100" w:rsidP="004B6B0B">
      <w:pPr>
        <w:jc w:val="center"/>
        <w:rPr>
          <w:rFonts w:ascii="Arial" w:hAnsi="Arial"/>
        </w:rPr>
      </w:pPr>
    </w:p>
    <w:p w14:paraId="392B76CD" w14:textId="77777777" w:rsidR="006452A6" w:rsidRPr="00620BA1" w:rsidRDefault="004B6B0B" w:rsidP="006452A6">
      <w:pPr>
        <w:jc w:val="center"/>
        <w:rPr>
          <w:rFonts w:ascii="Arial" w:hAnsi="Arial"/>
        </w:rPr>
      </w:pPr>
      <w:r w:rsidRPr="00620BA1">
        <w:rPr>
          <w:rFonts w:ascii="Arial" w:eastAsia="Arial" w:hAnsi="Arial" w:cs="Arial"/>
          <w:lang w:bidi="en-GB"/>
        </w:rPr>
        <w:t>Sample terms and conditions of the GDV</w:t>
      </w:r>
    </w:p>
    <w:p w14:paraId="5379593C" w14:textId="77777777" w:rsidR="006452A6" w:rsidRPr="00620BA1" w:rsidRDefault="006452A6" w:rsidP="006452A6">
      <w:pPr>
        <w:jc w:val="center"/>
        <w:rPr>
          <w:rFonts w:ascii="Arial" w:hAnsi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7"/>
      </w:tblGrid>
      <w:tr w:rsidR="0018297E" w:rsidRPr="0018297E" w14:paraId="4CE199C6" w14:textId="77777777" w:rsidTr="00090D79">
        <w:trPr>
          <w:jc w:val="center"/>
        </w:trPr>
        <w:tc>
          <w:tcPr>
            <w:tcW w:w="5000" w:type="pct"/>
            <w:tcBorders>
              <w:bottom w:val="nil"/>
            </w:tcBorders>
          </w:tcPr>
          <w:p w14:paraId="3711655D" w14:textId="77777777" w:rsidR="00F51B22" w:rsidRPr="0018297E" w:rsidRDefault="00F51B22" w:rsidP="00090D79">
            <w:pPr>
              <w:jc w:val="center"/>
              <w:rPr>
                <w:rFonts w:ascii="Arial" w:hAnsi="Arial"/>
              </w:rPr>
            </w:pPr>
          </w:p>
          <w:p w14:paraId="316A6EC9" w14:textId="77777777" w:rsidR="00F51B22" w:rsidRPr="0018297E" w:rsidRDefault="009D3B50" w:rsidP="00090D79">
            <w:pPr>
              <w:jc w:val="center"/>
              <w:rPr>
                <w:rFonts w:ascii="Arial" w:hAnsi="Arial"/>
              </w:rPr>
            </w:pPr>
            <w:r w:rsidRPr="0018297E">
              <w:rPr>
                <w:rFonts w:ascii="Arial" w:eastAsia="Arial" w:hAnsi="Arial" w:cs="Arial"/>
                <w:lang w:bidi="en-GB"/>
              </w:rPr>
              <w:t>Table of contents</w:t>
            </w:r>
          </w:p>
          <w:p w14:paraId="5B28F23B" w14:textId="77777777" w:rsidR="006452A6" w:rsidRPr="0018297E" w:rsidRDefault="006452A6" w:rsidP="00090D79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18297E" w:rsidRPr="0018297E" w14:paraId="51C30EFE" w14:textId="77777777" w:rsidTr="00FE48AA">
        <w:trPr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05D520B1" w14:textId="77777777" w:rsidR="00F51B22" w:rsidRPr="0018297E" w:rsidRDefault="006452A6" w:rsidP="00090D79">
            <w:pPr>
              <w:tabs>
                <w:tab w:val="left" w:pos="709"/>
              </w:tabs>
              <w:ind w:left="709" w:hanging="709"/>
              <w:rPr>
                <w:rFonts w:ascii="Arial" w:hAnsi="Arial"/>
                <w:b/>
                <w:sz w:val="18"/>
              </w:rPr>
            </w:pPr>
            <w:r w:rsidRPr="0018297E">
              <w:rPr>
                <w:rFonts w:ascii="Arial" w:eastAsia="Arial" w:hAnsi="Arial" w:cs="Arial"/>
                <w:b/>
                <w:sz w:val="18"/>
                <w:lang w:bidi="en-GB"/>
              </w:rPr>
              <w:t>1</w:t>
            </w:r>
            <w:r w:rsidRPr="0018297E">
              <w:rPr>
                <w:rFonts w:ascii="Arial" w:eastAsia="Arial" w:hAnsi="Arial" w:cs="Arial"/>
                <w:b/>
                <w:sz w:val="18"/>
                <w:lang w:bidi="en-GB"/>
              </w:rPr>
              <w:tab/>
              <w:t>Scope of cover</w:t>
            </w:r>
          </w:p>
          <w:p w14:paraId="5C53DF05" w14:textId="77777777" w:rsidR="00F51B22" w:rsidRPr="0018297E" w:rsidRDefault="006452A6" w:rsidP="00090D79">
            <w:pPr>
              <w:tabs>
                <w:tab w:val="left" w:pos="709"/>
              </w:tabs>
              <w:ind w:left="709" w:hanging="709"/>
              <w:rPr>
                <w:rFonts w:ascii="Arial" w:hAnsi="Arial"/>
                <w:b/>
                <w:sz w:val="18"/>
              </w:rPr>
            </w:pPr>
            <w:r w:rsidRPr="0018297E">
              <w:rPr>
                <w:rFonts w:ascii="Arial" w:eastAsia="Arial" w:hAnsi="Arial" w:cs="Arial"/>
                <w:b/>
                <w:sz w:val="18"/>
                <w:lang w:bidi="en-GB"/>
              </w:rPr>
              <w:t>2</w:t>
            </w:r>
            <w:r w:rsidRPr="0018297E">
              <w:rPr>
                <w:rFonts w:ascii="Arial" w:eastAsia="Arial" w:hAnsi="Arial" w:cs="Arial"/>
                <w:b/>
                <w:sz w:val="18"/>
                <w:lang w:bidi="en-GB"/>
              </w:rPr>
              <w:tab/>
              <w:t>Insured’s obligations</w:t>
            </w:r>
          </w:p>
          <w:p w14:paraId="189FAFEA" w14:textId="77777777" w:rsidR="00F51B22" w:rsidRPr="0018297E" w:rsidRDefault="006452A6" w:rsidP="00090D79">
            <w:pPr>
              <w:tabs>
                <w:tab w:val="left" w:pos="709"/>
              </w:tabs>
              <w:ind w:left="709" w:hanging="709"/>
              <w:jc w:val="both"/>
              <w:rPr>
                <w:rFonts w:ascii="Arial" w:hAnsi="Arial"/>
                <w:b/>
                <w:sz w:val="18"/>
              </w:rPr>
            </w:pPr>
            <w:r w:rsidRPr="0018297E">
              <w:rPr>
                <w:rFonts w:ascii="Arial" w:eastAsia="Arial" w:hAnsi="Arial" w:cs="Arial"/>
                <w:b/>
                <w:sz w:val="18"/>
                <w:lang w:bidi="en-GB"/>
              </w:rPr>
              <w:t>3</w:t>
            </w:r>
            <w:r w:rsidRPr="0018297E">
              <w:rPr>
                <w:rFonts w:ascii="Arial" w:eastAsia="Arial" w:hAnsi="Arial" w:cs="Arial"/>
                <w:b/>
                <w:sz w:val="18"/>
                <w:lang w:bidi="en-GB"/>
              </w:rPr>
              <w:tab/>
              <w:t>Excluded risks and losses</w:t>
            </w:r>
          </w:p>
          <w:p w14:paraId="4777B5CB" w14:textId="30467458" w:rsidR="00FE48AA" w:rsidRPr="0018297E" w:rsidRDefault="00614DFD" w:rsidP="00BA33E6">
            <w:pPr>
              <w:tabs>
                <w:tab w:val="left" w:pos="709"/>
              </w:tabs>
              <w:ind w:left="709" w:hanging="709"/>
              <w:jc w:val="both"/>
              <w:rPr>
                <w:rFonts w:ascii="Arial" w:hAnsi="Arial"/>
                <w:b/>
                <w:sz w:val="18"/>
              </w:rPr>
            </w:pPr>
            <w:r w:rsidRPr="0018297E">
              <w:rPr>
                <w:rFonts w:ascii="Arial" w:eastAsia="Arial" w:hAnsi="Arial" w:cs="Arial"/>
                <w:b/>
                <w:sz w:val="18"/>
                <w:lang w:bidi="en-GB"/>
              </w:rPr>
              <w:t>4</w:t>
            </w:r>
            <w:r w:rsidRPr="0018297E">
              <w:rPr>
                <w:rFonts w:ascii="Arial" w:eastAsia="Arial" w:hAnsi="Arial" w:cs="Arial"/>
                <w:b/>
                <w:sz w:val="18"/>
                <w:lang w:bidi="en-GB"/>
              </w:rPr>
              <w:tab/>
            </w:r>
            <w:r w:rsidR="00AD78A3" w:rsidRPr="0018297E">
              <w:rPr>
                <w:rFonts w:ascii="Arial" w:eastAsia="Arial" w:hAnsi="Arial" w:cs="Arial"/>
                <w:b/>
                <w:sz w:val="18"/>
                <w:lang w:bidi="en-GB"/>
              </w:rPr>
              <w:t>Limit of indemnity</w:t>
            </w:r>
          </w:p>
          <w:p w14:paraId="5FD6E2AE" w14:textId="59E08B8B" w:rsidR="006452A6" w:rsidRPr="0018297E" w:rsidRDefault="00BA33E6" w:rsidP="00BA33E6">
            <w:pPr>
              <w:tabs>
                <w:tab w:val="left" w:pos="709"/>
              </w:tabs>
              <w:ind w:left="709" w:hanging="709"/>
              <w:jc w:val="both"/>
              <w:rPr>
                <w:rFonts w:ascii="Arial" w:hAnsi="Arial"/>
                <w:b/>
                <w:sz w:val="18"/>
              </w:rPr>
            </w:pPr>
            <w:r w:rsidRPr="0018297E">
              <w:rPr>
                <w:rFonts w:ascii="Arial" w:eastAsia="Arial" w:hAnsi="Arial" w:cs="Arial"/>
                <w:b/>
                <w:sz w:val="18"/>
                <w:lang w:bidi="en-GB"/>
              </w:rPr>
              <w:t>5</w:t>
            </w:r>
            <w:r w:rsidRPr="0018297E">
              <w:rPr>
                <w:rFonts w:ascii="Arial" w:eastAsia="Arial" w:hAnsi="Arial" w:cs="Arial"/>
                <w:b/>
                <w:sz w:val="18"/>
                <w:lang w:bidi="en-GB"/>
              </w:rPr>
              <w:tab/>
              <w:t>Cancellation</w:t>
            </w:r>
          </w:p>
        </w:tc>
      </w:tr>
      <w:tr w:rsidR="00FE48AA" w:rsidRPr="0018297E" w14:paraId="509B4662" w14:textId="77777777" w:rsidTr="00090D79">
        <w:trPr>
          <w:jc w:val="center"/>
        </w:trPr>
        <w:tc>
          <w:tcPr>
            <w:tcW w:w="5000" w:type="pct"/>
            <w:tcBorders>
              <w:top w:val="nil"/>
            </w:tcBorders>
          </w:tcPr>
          <w:p w14:paraId="54C2CF65" w14:textId="77777777" w:rsidR="00FE48AA" w:rsidRPr="0018297E" w:rsidRDefault="00FE48AA" w:rsidP="00FE48AA">
            <w:pPr>
              <w:tabs>
                <w:tab w:val="left" w:pos="709"/>
              </w:tabs>
              <w:rPr>
                <w:rFonts w:ascii="Arial" w:hAnsi="Arial"/>
                <w:b/>
                <w:sz w:val="18"/>
              </w:rPr>
            </w:pPr>
          </w:p>
        </w:tc>
      </w:tr>
    </w:tbl>
    <w:p w14:paraId="432301B0" w14:textId="77777777" w:rsidR="00F51B22" w:rsidRPr="0018297E" w:rsidRDefault="00F51B22" w:rsidP="00BB7E2C">
      <w:pPr>
        <w:suppressAutoHyphens/>
        <w:rPr>
          <w:rFonts w:ascii="Arial" w:hAnsi="Arial"/>
        </w:rPr>
      </w:pPr>
    </w:p>
    <w:p w14:paraId="3104877E" w14:textId="77777777" w:rsidR="006452A6" w:rsidRPr="0018297E" w:rsidRDefault="006452A6">
      <w:pPr>
        <w:ind w:left="992" w:hanging="992"/>
        <w:jc w:val="both"/>
        <w:rPr>
          <w:rFonts w:ascii="Arial" w:hAnsi="Arial"/>
          <w:b/>
          <w:sz w:val="18"/>
        </w:rPr>
        <w:sectPr w:rsidR="006452A6" w:rsidRPr="0018297E" w:rsidSect="00F51B22"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type w:val="continuous"/>
          <w:pgSz w:w="11907" w:h="16840" w:code="9"/>
          <w:pgMar w:top="1066" w:right="850" w:bottom="567" w:left="850" w:header="357" w:footer="351" w:gutter="0"/>
          <w:pgNumType w:start="1"/>
          <w:cols w:space="737"/>
          <w:noEndnote/>
          <w:titlePg/>
          <w:docGrid w:linePitch="65"/>
        </w:sectPr>
      </w:pPr>
    </w:p>
    <w:p w14:paraId="15CEBC5A" w14:textId="77777777" w:rsidR="00F51B22" w:rsidRPr="0018297E" w:rsidRDefault="006452A6" w:rsidP="00F51B22">
      <w:pPr>
        <w:keepNext/>
        <w:spacing w:after="100"/>
        <w:ind w:left="709" w:hanging="709"/>
        <w:jc w:val="both"/>
        <w:rPr>
          <w:rFonts w:ascii="Arial" w:hAnsi="Arial"/>
          <w:b/>
          <w:sz w:val="18"/>
        </w:rPr>
      </w:pPr>
      <w:r w:rsidRPr="0018297E">
        <w:rPr>
          <w:rFonts w:ascii="Arial" w:eastAsia="Arial" w:hAnsi="Arial" w:cs="Arial"/>
          <w:b/>
          <w:sz w:val="18"/>
          <w:lang w:bidi="en-GB"/>
        </w:rPr>
        <w:t>1</w:t>
      </w:r>
      <w:r w:rsidRPr="0018297E">
        <w:rPr>
          <w:rFonts w:ascii="Arial" w:eastAsia="Arial" w:hAnsi="Arial" w:cs="Arial"/>
          <w:b/>
          <w:sz w:val="18"/>
          <w:lang w:bidi="en-GB"/>
        </w:rPr>
        <w:tab/>
        <w:t>Scope of cover</w:t>
      </w:r>
    </w:p>
    <w:p w14:paraId="01287166" w14:textId="3FE07D73" w:rsidR="00A76A27" w:rsidRPr="0018297E" w:rsidRDefault="006452A6" w:rsidP="00CD5F92">
      <w:pPr>
        <w:spacing w:after="100"/>
        <w:ind w:left="709" w:hanging="709"/>
        <w:jc w:val="both"/>
        <w:rPr>
          <w:rFonts w:ascii="Arial" w:hAnsi="Arial"/>
          <w:sz w:val="18"/>
        </w:rPr>
      </w:pPr>
      <w:r w:rsidRPr="0018297E">
        <w:rPr>
          <w:rFonts w:ascii="Arial" w:eastAsia="Arial" w:hAnsi="Arial" w:cs="Arial"/>
          <w:sz w:val="18"/>
          <w:lang w:bidi="en-GB"/>
        </w:rPr>
        <w:t>1.1</w:t>
      </w:r>
      <w:r w:rsidRPr="0018297E">
        <w:rPr>
          <w:rFonts w:ascii="Arial" w:eastAsia="Arial" w:hAnsi="Arial" w:cs="Arial"/>
          <w:sz w:val="18"/>
          <w:lang w:bidi="en-GB"/>
        </w:rPr>
        <w:tab/>
        <w:t>By way of amendment to Clause 2.4.1.3 DTV Cargo 2000/ 2011, insurance also extends to loss of or damage to insured goods resulting from confiscation, capture, seizure or other acts of authorities.</w:t>
      </w:r>
    </w:p>
    <w:p w14:paraId="5A44BC1F" w14:textId="77777777" w:rsidR="00F51B22" w:rsidRPr="0018297E" w:rsidRDefault="006452A6" w:rsidP="00F51B22">
      <w:pPr>
        <w:keepNext/>
        <w:spacing w:after="100"/>
        <w:ind w:left="709" w:hanging="709"/>
        <w:jc w:val="both"/>
        <w:rPr>
          <w:rFonts w:ascii="Arial" w:hAnsi="Arial"/>
          <w:b/>
          <w:sz w:val="18"/>
        </w:rPr>
      </w:pPr>
      <w:r w:rsidRPr="0018297E">
        <w:rPr>
          <w:rFonts w:ascii="Arial" w:eastAsia="Arial" w:hAnsi="Arial" w:cs="Arial"/>
          <w:b/>
          <w:sz w:val="18"/>
          <w:lang w:bidi="en-GB"/>
        </w:rPr>
        <w:t>2</w:t>
      </w:r>
      <w:r w:rsidRPr="0018297E">
        <w:rPr>
          <w:rFonts w:ascii="Arial" w:eastAsia="Arial" w:hAnsi="Arial" w:cs="Arial"/>
          <w:b/>
          <w:sz w:val="18"/>
          <w:lang w:bidi="en-GB"/>
        </w:rPr>
        <w:tab/>
        <w:t>Insured’s obligations</w:t>
      </w:r>
    </w:p>
    <w:p w14:paraId="19F1D8E4" w14:textId="77777777" w:rsidR="00F51B22" w:rsidRPr="0018297E" w:rsidRDefault="006452A6" w:rsidP="00F51B22">
      <w:pPr>
        <w:spacing w:after="100"/>
        <w:ind w:left="709" w:hanging="709"/>
        <w:jc w:val="both"/>
        <w:rPr>
          <w:rFonts w:ascii="Arial" w:hAnsi="Arial"/>
          <w:sz w:val="18"/>
        </w:rPr>
      </w:pPr>
      <w:r w:rsidRPr="0018297E">
        <w:rPr>
          <w:rFonts w:ascii="Arial" w:eastAsia="Arial" w:hAnsi="Arial" w:cs="Arial"/>
          <w:sz w:val="18"/>
          <w:lang w:bidi="en-GB"/>
        </w:rPr>
        <w:t>2.1</w:t>
      </w:r>
      <w:r w:rsidRPr="0018297E">
        <w:rPr>
          <w:rFonts w:ascii="Arial" w:eastAsia="Arial" w:hAnsi="Arial" w:cs="Arial"/>
          <w:sz w:val="18"/>
          <w:lang w:bidi="en-GB"/>
        </w:rPr>
        <w:tab/>
        <w:t>The Insured must ensure that</w:t>
      </w:r>
    </w:p>
    <w:p w14:paraId="6E1A5E52" w14:textId="77777777" w:rsidR="00F51B22" w:rsidRPr="0018297E" w:rsidRDefault="006452A6" w:rsidP="00F51B22">
      <w:pPr>
        <w:numPr>
          <w:ilvl w:val="0"/>
          <w:numId w:val="4"/>
        </w:numPr>
        <w:spacing w:after="100"/>
        <w:ind w:left="1021"/>
        <w:jc w:val="both"/>
        <w:rPr>
          <w:rFonts w:ascii="Arial" w:hAnsi="Arial"/>
          <w:sz w:val="18"/>
        </w:rPr>
      </w:pPr>
      <w:r w:rsidRPr="0018297E">
        <w:rPr>
          <w:rFonts w:ascii="Arial" w:eastAsia="Arial" w:hAnsi="Arial" w:cs="Arial"/>
          <w:sz w:val="18"/>
          <w:lang w:bidi="en-GB"/>
        </w:rPr>
        <w:t xml:space="preserve">the documents accompanying the goods (e.g. bill of lading, customs declaration, etc.) have been duly issued and the insured goods have been accurately and correctly </w:t>
      </w:r>
      <w:proofErr w:type="gramStart"/>
      <w:r w:rsidRPr="0018297E">
        <w:rPr>
          <w:rFonts w:ascii="Arial" w:eastAsia="Arial" w:hAnsi="Arial" w:cs="Arial"/>
          <w:sz w:val="18"/>
          <w:lang w:bidi="en-GB"/>
        </w:rPr>
        <w:t>declared;</w:t>
      </w:r>
      <w:proofErr w:type="gramEnd"/>
    </w:p>
    <w:p w14:paraId="04A1522D" w14:textId="77777777" w:rsidR="00F51B22" w:rsidRPr="0018297E" w:rsidRDefault="006452A6" w:rsidP="00F51B22">
      <w:pPr>
        <w:numPr>
          <w:ilvl w:val="0"/>
          <w:numId w:val="4"/>
        </w:numPr>
        <w:spacing w:after="100"/>
        <w:ind w:left="1021"/>
        <w:jc w:val="both"/>
        <w:rPr>
          <w:rFonts w:ascii="Arial" w:hAnsi="Arial"/>
          <w:sz w:val="18"/>
        </w:rPr>
      </w:pPr>
      <w:r w:rsidRPr="0018297E">
        <w:rPr>
          <w:rFonts w:ascii="Arial" w:eastAsia="Arial" w:hAnsi="Arial" w:cs="Arial"/>
          <w:sz w:val="18"/>
          <w:lang w:bidi="en-GB"/>
        </w:rPr>
        <w:t>all statutory import, export and transit regulations or administrative orders of the countries of dispatch, transit and destination are complied with.</w:t>
      </w:r>
    </w:p>
    <w:p w14:paraId="3BDA287E" w14:textId="4EF653F6" w:rsidR="00F51B22" w:rsidRPr="0018297E" w:rsidRDefault="006452A6" w:rsidP="00AC0B5F">
      <w:pPr>
        <w:spacing w:after="100"/>
        <w:ind w:left="709" w:hanging="709"/>
        <w:jc w:val="both"/>
        <w:rPr>
          <w:rFonts w:ascii="Arial" w:hAnsi="Arial"/>
          <w:sz w:val="18"/>
        </w:rPr>
      </w:pPr>
      <w:r w:rsidRPr="0018297E">
        <w:rPr>
          <w:rFonts w:ascii="Arial" w:eastAsia="Arial" w:hAnsi="Arial" w:cs="Arial"/>
          <w:sz w:val="18"/>
          <w:lang w:bidi="en-GB"/>
        </w:rPr>
        <w:t>2.2</w:t>
      </w:r>
      <w:r w:rsidRPr="0018297E">
        <w:rPr>
          <w:rFonts w:ascii="Arial" w:eastAsia="Arial" w:hAnsi="Arial" w:cs="Arial"/>
          <w:sz w:val="18"/>
          <w:lang w:bidi="en-GB"/>
        </w:rPr>
        <w:tab/>
        <w:t>The Insurer is discharged from liability if the Insured breaches one of these obligations, unless the breach did not cause the insured event or the scope of liability.</w:t>
      </w:r>
    </w:p>
    <w:p w14:paraId="3B5040B1" w14:textId="77777777" w:rsidR="00F51B22" w:rsidRPr="0018297E" w:rsidRDefault="006452A6" w:rsidP="00F51B22">
      <w:pPr>
        <w:keepNext/>
        <w:spacing w:after="100"/>
        <w:ind w:left="709" w:hanging="709"/>
        <w:jc w:val="both"/>
        <w:rPr>
          <w:rFonts w:ascii="Arial" w:hAnsi="Arial"/>
          <w:b/>
          <w:sz w:val="18"/>
        </w:rPr>
      </w:pPr>
      <w:r w:rsidRPr="0018297E">
        <w:rPr>
          <w:rFonts w:ascii="Arial" w:eastAsia="Arial" w:hAnsi="Arial" w:cs="Arial"/>
          <w:b/>
          <w:sz w:val="18"/>
          <w:lang w:bidi="en-GB"/>
        </w:rPr>
        <w:t>3</w:t>
      </w:r>
      <w:r w:rsidRPr="0018297E">
        <w:rPr>
          <w:rFonts w:ascii="Arial" w:eastAsia="Arial" w:hAnsi="Arial" w:cs="Arial"/>
          <w:b/>
          <w:sz w:val="18"/>
          <w:lang w:bidi="en-GB"/>
        </w:rPr>
        <w:tab/>
        <w:t>Excluded risks and losses</w:t>
      </w:r>
    </w:p>
    <w:p w14:paraId="10CE94C1" w14:textId="77777777" w:rsidR="00F51B22" w:rsidRPr="0018297E" w:rsidRDefault="006452A6" w:rsidP="00F51B22">
      <w:pPr>
        <w:spacing w:after="100"/>
        <w:ind w:left="709" w:hanging="709"/>
        <w:jc w:val="both"/>
        <w:rPr>
          <w:rFonts w:ascii="Arial" w:hAnsi="Arial"/>
          <w:sz w:val="18"/>
        </w:rPr>
      </w:pPr>
      <w:r w:rsidRPr="0018297E">
        <w:rPr>
          <w:rFonts w:ascii="Arial" w:eastAsia="Arial" w:hAnsi="Arial" w:cs="Arial"/>
          <w:sz w:val="18"/>
          <w:lang w:bidi="en-GB"/>
        </w:rPr>
        <w:t>3.1</w:t>
      </w:r>
      <w:r w:rsidRPr="0018297E">
        <w:rPr>
          <w:rFonts w:ascii="Arial" w:eastAsia="Arial" w:hAnsi="Arial" w:cs="Arial"/>
          <w:sz w:val="18"/>
          <w:lang w:bidi="en-GB"/>
        </w:rPr>
        <w:tab/>
        <w:t xml:space="preserve">Unless otherwise agreed, the provisions set down in Clauses 2.4.1.1, 2.4.1.2, 2.4.1.4 to 2.4.1.6 and Clause 2.5 of DTV Cargo 2000/2011 concerning excluded risks and losses remain unaffected. </w:t>
      </w:r>
    </w:p>
    <w:p w14:paraId="602D6A68" w14:textId="77777777" w:rsidR="00F51B22" w:rsidRPr="0018297E" w:rsidRDefault="006452A6" w:rsidP="00F51B22">
      <w:pPr>
        <w:keepNext/>
        <w:spacing w:after="100"/>
        <w:ind w:left="709" w:hanging="709"/>
        <w:jc w:val="both"/>
        <w:rPr>
          <w:rFonts w:ascii="Arial" w:hAnsi="Arial"/>
          <w:sz w:val="18"/>
        </w:rPr>
      </w:pPr>
      <w:r w:rsidRPr="0018297E">
        <w:rPr>
          <w:rFonts w:ascii="Arial" w:eastAsia="Arial" w:hAnsi="Arial" w:cs="Arial"/>
          <w:sz w:val="18"/>
          <w:lang w:bidi="en-GB"/>
        </w:rPr>
        <w:t>3.2</w:t>
      </w:r>
      <w:r w:rsidRPr="0018297E">
        <w:rPr>
          <w:rFonts w:ascii="Arial" w:eastAsia="Arial" w:hAnsi="Arial" w:cs="Arial"/>
          <w:sz w:val="18"/>
          <w:lang w:bidi="en-GB"/>
        </w:rPr>
        <w:tab/>
        <w:t xml:space="preserve">In addition, the following losses/damages are excluded: </w:t>
      </w:r>
    </w:p>
    <w:p w14:paraId="4957FDC2" w14:textId="77777777" w:rsidR="00F51B22" w:rsidRPr="0018297E" w:rsidRDefault="006452A6" w:rsidP="00F51B22">
      <w:pPr>
        <w:spacing w:after="100"/>
        <w:ind w:left="709" w:hanging="709"/>
        <w:jc w:val="both"/>
        <w:rPr>
          <w:rFonts w:ascii="Arial" w:hAnsi="Arial"/>
          <w:sz w:val="18"/>
        </w:rPr>
      </w:pPr>
      <w:r w:rsidRPr="0018297E">
        <w:rPr>
          <w:rFonts w:ascii="Arial" w:eastAsia="Arial" w:hAnsi="Arial" w:cs="Arial"/>
          <w:sz w:val="18"/>
          <w:lang w:bidi="en-GB"/>
        </w:rPr>
        <w:t>3.2.1</w:t>
      </w:r>
      <w:r w:rsidRPr="0018297E">
        <w:rPr>
          <w:rFonts w:ascii="Arial" w:eastAsia="Arial" w:hAnsi="Arial" w:cs="Arial"/>
          <w:sz w:val="18"/>
          <w:lang w:bidi="en-GB"/>
        </w:rPr>
        <w:tab/>
        <w:t xml:space="preserve">loss/damage resulting from measures taken by authorities due to the condition of the insured </w:t>
      </w:r>
      <w:proofErr w:type="gramStart"/>
      <w:r w:rsidRPr="0018297E">
        <w:rPr>
          <w:rFonts w:ascii="Arial" w:eastAsia="Arial" w:hAnsi="Arial" w:cs="Arial"/>
          <w:sz w:val="18"/>
          <w:lang w:bidi="en-GB"/>
        </w:rPr>
        <w:t>goods;</w:t>
      </w:r>
      <w:proofErr w:type="gramEnd"/>
    </w:p>
    <w:p w14:paraId="4FAEDD7B" w14:textId="77777777" w:rsidR="00F51B22" w:rsidRPr="0018297E" w:rsidRDefault="006452A6" w:rsidP="00F51B22">
      <w:pPr>
        <w:spacing w:after="100"/>
        <w:ind w:left="709" w:hanging="709"/>
        <w:jc w:val="both"/>
        <w:rPr>
          <w:rFonts w:ascii="Arial" w:hAnsi="Arial"/>
          <w:sz w:val="18"/>
        </w:rPr>
      </w:pPr>
      <w:r w:rsidRPr="0018297E">
        <w:rPr>
          <w:rFonts w:ascii="Arial" w:eastAsia="Arial" w:hAnsi="Arial" w:cs="Arial"/>
          <w:sz w:val="18"/>
          <w:lang w:bidi="en-GB"/>
        </w:rPr>
        <w:t>3.2.2</w:t>
      </w:r>
      <w:r w:rsidRPr="0018297E">
        <w:rPr>
          <w:rFonts w:ascii="Arial" w:eastAsia="Arial" w:hAnsi="Arial" w:cs="Arial"/>
          <w:sz w:val="18"/>
          <w:lang w:bidi="en-GB"/>
        </w:rPr>
        <w:tab/>
        <w:t xml:space="preserve">loss/damage resulting from court orders in connection with civil law proceedings. </w:t>
      </w:r>
    </w:p>
    <w:p w14:paraId="14F961C0" w14:textId="507A2496" w:rsidR="00EA6B99" w:rsidRPr="0018297E" w:rsidRDefault="00F51B22" w:rsidP="00ED24D8">
      <w:pPr>
        <w:spacing w:after="100"/>
        <w:ind w:left="709" w:hanging="709"/>
        <w:jc w:val="both"/>
        <w:rPr>
          <w:rFonts w:ascii="Arial" w:hAnsi="Arial"/>
          <w:b/>
          <w:bCs/>
          <w:sz w:val="18"/>
        </w:rPr>
      </w:pPr>
      <w:r w:rsidRPr="0018297E">
        <w:rPr>
          <w:rFonts w:ascii="Arial" w:eastAsia="Arial" w:hAnsi="Arial" w:cs="Arial"/>
          <w:sz w:val="18"/>
          <w:lang w:bidi="en-GB"/>
        </w:rPr>
        <w:br w:type="column"/>
      </w:r>
      <w:r w:rsidR="00BA33E6" w:rsidRPr="0018297E">
        <w:rPr>
          <w:rFonts w:ascii="Arial" w:eastAsia="Arial" w:hAnsi="Arial" w:cs="Arial"/>
          <w:b/>
          <w:sz w:val="18"/>
          <w:lang w:bidi="en-GB"/>
        </w:rPr>
        <w:t>4</w:t>
      </w:r>
      <w:r w:rsidR="00BA33E6" w:rsidRPr="0018297E">
        <w:rPr>
          <w:rFonts w:ascii="Arial" w:eastAsia="Arial" w:hAnsi="Arial" w:cs="Arial"/>
          <w:b/>
          <w:sz w:val="18"/>
          <w:lang w:bidi="en-GB"/>
        </w:rPr>
        <w:tab/>
      </w:r>
      <w:r w:rsidR="00AD78A3" w:rsidRPr="0018297E">
        <w:rPr>
          <w:rFonts w:ascii="Arial" w:eastAsia="Arial" w:hAnsi="Arial" w:cs="Arial"/>
          <w:b/>
          <w:sz w:val="18"/>
          <w:lang w:bidi="en-GB"/>
        </w:rPr>
        <w:t>Limit of indemnity</w:t>
      </w:r>
    </w:p>
    <w:p w14:paraId="3E27C85C" w14:textId="77777777" w:rsidR="00EA6B99" w:rsidRPr="0018297E" w:rsidRDefault="00EA6B99" w:rsidP="00EA6B99">
      <w:pPr>
        <w:spacing w:after="100"/>
        <w:ind w:left="709" w:hanging="709"/>
        <w:jc w:val="both"/>
        <w:rPr>
          <w:rFonts w:ascii="Arial" w:hAnsi="Arial"/>
          <w:sz w:val="18"/>
        </w:rPr>
      </w:pPr>
      <w:r w:rsidRPr="0018297E">
        <w:rPr>
          <w:rFonts w:ascii="Arial" w:eastAsia="Arial" w:hAnsi="Arial" w:cs="Arial"/>
          <w:sz w:val="18"/>
          <w:lang w:bidi="en-GB"/>
        </w:rPr>
        <w:tab/>
        <w:t>The indemnification is limited to</w:t>
      </w:r>
    </w:p>
    <w:p w14:paraId="173E4173" w14:textId="5DA04880" w:rsidR="00EA6B99" w:rsidRPr="0018297E" w:rsidRDefault="00EA6B99" w:rsidP="00EA6B99">
      <w:pPr>
        <w:spacing w:after="100"/>
        <w:ind w:left="709" w:hanging="709"/>
        <w:jc w:val="both"/>
        <w:rPr>
          <w:rFonts w:ascii="Arial" w:hAnsi="Arial"/>
          <w:sz w:val="18"/>
        </w:rPr>
      </w:pPr>
      <w:r w:rsidRPr="0018297E">
        <w:rPr>
          <w:rFonts w:ascii="Arial" w:eastAsia="Arial" w:hAnsi="Arial" w:cs="Arial"/>
          <w:sz w:val="18"/>
          <w:lang w:bidi="en-GB"/>
        </w:rPr>
        <w:t>4.1</w:t>
      </w:r>
      <w:r w:rsidRPr="0018297E">
        <w:rPr>
          <w:rFonts w:ascii="Arial" w:eastAsia="Arial" w:hAnsi="Arial" w:cs="Arial"/>
          <w:sz w:val="18"/>
          <w:lang w:bidi="en-GB"/>
        </w:rPr>
        <w:tab/>
        <w:t>EUR ...............</w:t>
      </w:r>
      <w:r w:rsidRPr="0018297E">
        <w:rPr>
          <w:rFonts w:ascii="Arial" w:eastAsia="Arial" w:hAnsi="Arial" w:cs="Arial"/>
          <w:sz w:val="18"/>
          <w:lang w:bidi="en-GB"/>
        </w:rPr>
        <w:tab/>
        <w:t>per damage</w:t>
      </w:r>
      <w:r w:rsidR="00AD78A3" w:rsidRPr="0018297E">
        <w:rPr>
          <w:rFonts w:ascii="Arial" w:eastAsia="Arial" w:hAnsi="Arial" w:cs="Arial"/>
          <w:sz w:val="18"/>
          <w:lang w:bidi="en-GB"/>
        </w:rPr>
        <w:t xml:space="preserve"> / loss</w:t>
      </w:r>
    </w:p>
    <w:p w14:paraId="4A618BF4" w14:textId="77777777" w:rsidR="00EA6B99" w:rsidRPr="0018297E" w:rsidRDefault="00EA6B99" w:rsidP="00EA6B99">
      <w:pPr>
        <w:spacing w:after="100"/>
        <w:ind w:left="709"/>
        <w:jc w:val="both"/>
        <w:rPr>
          <w:rFonts w:ascii="Arial" w:hAnsi="Arial"/>
          <w:sz w:val="18"/>
        </w:rPr>
      </w:pPr>
      <w:r w:rsidRPr="0018297E">
        <w:rPr>
          <w:rFonts w:ascii="Arial" w:eastAsia="Arial" w:hAnsi="Arial" w:cs="Arial"/>
          <w:sz w:val="18"/>
          <w:lang w:bidi="en-GB"/>
        </w:rPr>
        <w:t>and</w:t>
      </w:r>
    </w:p>
    <w:p w14:paraId="1B42EBCE" w14:textId="6787DEEC" w:rsidR="00EA6B99" w:rsidRPr="0018297E" w:rsidRDefault="00EA6B99" w:rsidP="00EA6B99">
      <w:pPr>
        <w:spacing w:after="100"/>
        <w:ind w:left="709" w:hanging="709"/>
        <w:jc w:val="both"/>
        <w:rPr>
          <w:rFonts w:ascii="Arial" w:hAnsi="Arial"/>
          <w:sz w:val="18"/>
        </w:rPr>
      </w:pPr>
      <w:r w:rsidRPr="0018297E">
        <w:rPr>
          <w:rFonts w:ascii="Arial" w:eastAsia="Arial" w:hAnsi="Arial" w:cs="Arial"/>
          <w:sz w:val="18"/>
          <w:lang w:bidi="en-GB"/>
        </w:rPr>
        <w:t>4.2</w:t>
      </w:r>
      <w:r w:rsidRPr="0018297E">
        <w:rPr>
          <w:rFonts w:ascii="Arial" w:eastAsia="Arial" w:hAnsi="Arial" w:cs="Arial"/>
          <w:sz w:val="18"/>
          <w:lang w:bidi="en-GB"/>
        </w:rPr>
        <w:tab/>
        <w:t>EUR ...............</w:t>
      </w:r>
      <w:r w:rsidRPr="0018297E">
        <w:rPr>
          <w:rFonts w:ascii="Arial" w:eastAsia="Arial" w:hAnsi="Arial" w:cs="Arial"/>
          <w:sz w:val="18"/>
          <w:lang w:bidi="en-GB"/>
        </w:rPr>
        <w:tab/>
        <w:t>per loss event.</w:t>
      </w:r>
    </w:p>
    <w:p w14:paraId="715D0158" w14:textId="77777777" w:rsidR="00EA6B99" w:rsidRPr="0018297E" w:rsidRDefault="00EA6B99" w:rsidP="00EA6B99">
      <w:pPr>
        <w:spacing w:after="100"/>
        <w:ind w:left="709"/>
        <w:jc w:val="both"/>
        <w:rPr>
          <w:rFonts w:ascii="Arial" w:hAnsi="Arial"/>
          <w:sz w:val="18"/>
        </w:rPr>
      </w:pPr>
      <w:r w:rsidRPr="0018297E">
        <w:rPr>
          <w:rFonts w:ascii="Arial" w:eastAsia="Arial" w:hAnsi="Arial" w:cs="Arial"/>
          <w:sz w:val="18"/>
          <w:lang w:bidi="en-GB"/>
        </w:rPr>
        <w:t>and</w:t>
      </w:r>
    </w:p>
    <w:p w14:paraId="15CC95A5" w14:textId="49A64D07" w:rsidR="002460A8" w:rsidRPr="0018297E" w:rsidRDefault="00EA6B99" w:rsidP="007915F9">
      <w:pPr>
        <w:ind w:left="709" w:hanging="709"/>
        <w:jc w:val="both"/>
        <w:rPr>
          <w:rFonts w:ascii="Arial" w:hAnsi="Arial"/>
          <w:sz w:val="18"/>
        </w:rPr>
      </w:pPr>
      <w:r w:rsidRPr="0018297E">
        <w:rPr>
          <w:rFonts w:ascii="Arial" w:eastAsia="Arial" w:hAnsi="Arial" w:cs="Arial"/>
          <w:sz w:val="18"/>
          <w:lang w:bidi="en-GB"/>
        </w:rPr>
        <w:t>4.3</w:t>
      </w:r>
      <w:r w:rsidRPr="0018297E">
        <w:rPr>
          <w:rFonts w:ascii="Arial" w:eastAsia="Arial" w:hAnsi="Arial" w:cs="Arial"/>
          <w:sz w:val="18"/>
          <w:lang w:bidi="en-GB"/>
        </w:rPr>
        <w:tab/>
        <w:t>EUR ...............</w:t>
      </w:r>
      <w:r w:rsidRPr="0018297E">
        <w:rPr>
          <w:rFonts w:ascii="Arial" w:eastAsia="Arial" w:hAnsi="Arial" w:cs="Arial"/>
          <w:sz w:val="18"/>
          <w:lang w:bidi="en-GB"/>
        </w:rPr>
        <w:tab/>
        <w:t xml:space="preserve">for all loss events </w:t>
      </w:r>
    </w:p>
    <w:p w14:paraId="70BB1A2C" w14:textId="07AFCFE7" w:rsidR="00BA33E6" w:rsidRPr="0018297E" w:rsidRDefault="00AD78A3" w:rsidP="002460A8">
      <w:pPr>
        <w:spacing w:after="100"/>
        <w:ind w:left="1418" w:firstLine="709"/>
        <w:jc w:val="both"/>
        <w:rPr>
          <w:rFonts w:ascii="Arial" w:hAnsi="Arial"/>
          <w:sz w:val="18"/>
        </w:rPr>
      </w:pPr>
      <w:r w:rsidRPr="0018297E">
        <w:rPr>
          <w:rFonts w:ascii="Arial" w:eastAsia="Arial" w:hAnsi="Arial" w:cs="Arial"/>
          <w:sz w:val="18"/>
          <w:lang w:bidi="en-GB"/>
        </w:rPr>
        <w:t>of a</w:t>
      </w:r>
      <w:r w:rsidR="00EA6B99" w:rsidRPr="0018297E">
        <w:rPr>
          <w:rFonts w:ascii="Arial" w:eastAsia="Arial" w:hAnsi="Arial" w:cs="Arial"/>
          <w:sz w:val="18"/>
          <w:lang w:bidi="en-GB"/>
        </w:rPr>
        <w:t xml:space="preserve"> policy year.</w:t>
      </w:r>
    </w:p>
    <w:p w14:paraId="0273A801" w14:textId="72B78B57" w:rsidR="00F51B22" w:rsidRPr="0018297E" w:rsidRDefault="00BA33E6" w:rsidP="00F51B22">
      <w:pPr>
        <w:spacing w:after="100"/>
        <w:ind w:left="709" w:hanging="709"/>
        <w:jc w:val="both"/>
        <w:rPr>
          <w:rFonts w:ascii="Arial" w:hAnsi="Arial"/>
          <w:b/>
          <w:sz w:val="18"/>
        </w:rPr>
      </w:pPr>
      <w:r w:rsidRPr="0018297E">
        <w:rPr>
          <w:rFonts w:ascii="Arial" w:eastAsia="Arial" w:hAnsi="Arial" w:cs="Arial"/>
          <w:b/>
          <w:sz w:val="18"/>
          <w:lang w:bidi="en-GB"/>
        </w:rPr>
        <w:t>5</w:t>
      </w:r>
      <w:r w:rsidRPr="0018297E">
        <w:rPr>
          <w:rFonts w:ascii="Arial" w:eastAsia="Arial" w:hAnsi="Arial" w:cs="Arial"/>
          <w:b/>
          <w:sz w:val="18"/>
          <w:lang w:bidi="en-GB"/>
        </w:rPr>
        <w:tab/>
        <w:t>Cancellation</w:t>
      </w:r>
    </w:p>
    <w:p w14:paraId="2A00EC8E" w14:textId="66490241" w:rsidR="00F51B22" w:rsidRPr="0018297E" w:rsidRDefault="00BA33E6" w:rsidP="00F51B22">
      <w:pPr>
        <w:tabs>
          <w:tab w:val="left" w:pos="567"/>
          <w:tab w:val="left" w:pos="709"/>
        </w:tabs>
        <w:spacing w:after="100"/>
        <w:ind w:left="709" w:hanging="709"/>
        <w:jc w:val="both"/>
        <w:rPr>
          <w:rFonts w:ascii="Arial" w:hAnsi="Arial"/>
          <w:sz w:val="18"/>
        </w:rPr>
      </w:pPr>
      <w:r w:rsidRPr="0018297E">
        <w:rPr>
          <w:rFonts w:ascii="Arial" w:eastAsia="Arial" w:hAnsi="Arial" w:cs="Arial"/>
          <w:sz w:val="18"/>
          <w:lang w:bidi="en-GB"/>
        </w:rPr>
        <w:t>5.1</w:t>
      </w:r>
      <w:r w:rsidRPr="0018297E">
        <w:rPr>
          <w:rFonts w:ascii="Arial" w:eastAsia="Arial" w:hAnsi="Arial" w:cs="Arial"/>
          <w:sz w:val="18"/>
          <w:lang w:bidi="en-GB"/>
        </w:rPr>
        <w:tab/>
      </w:r>
      <w:r w:rsidRPr="0018297E">
        <w:rPr>
          <w:rFonts w:ascii="Arial" w:eastAsia="Arial" w:hAnsi="Arial" w:cs="Arial"/>
          <w:sz w:val="18"/>
          <w:lang w:bidi="en-GB"/>
        </w:rPr>
        <w:tab/>
        <w:t xml:space="preserve">Insurance against the risks </w:t>
      </w:r>
      <w:r w:rsidR="00131D1D" w:rsidRPr="0018297E">
        <w:rPr>
          <w:rFonts w:ascii="Arial" w:eastAsia="Arial" w:hAnsi="Arial" w:cs="Arial"/>
          <w:sz w:val="18"/>
          <w:lang w:bidi="en-GB"/>
        </w:rPr>
        <w:t xml:space="preserve">pursuant to </w:t>
      </w:r>
      <w:r w:rsidRPr="0018297E">
        <w:rPr>
          <w:rFonts w:ascii="Arial" w:eastAsia="Arial" w:hAnsi="Arial" w:cs="Arial"/>
          <w:sz w:val="18"/>
          <w:lang w:bidi="en-GB"/>
        </w:rPr>
        <w:t>Clause 1 may be cancelled by the Insurer at any time</w:t>
      </w:r>
      <w:r w:rsidR="00BF7A9B" w:rsidRPr="0018297E">
        <w:rPr>
          <w:rFonts w:ascii="Arial" w:eastAsia="Arial" w:hAnsi="Arial" w:cs="Arial"/>
          <w:sz w:val="18"/>
          <w:lang w:bidi="en-GB"/>
        </w:rPr>
        <w:t xml:space="preserve">, </w:t>
      </w:r>
      <w:r w:rsidRPr="0018297E">
        <w:rPr>
          <w:rFonts w:ascii="Arial" w:eastAsia="Arial" w:hAnsi="Arial" w:cs="Arial"/>
          <w:sz w:val="18"/>
          <w:lang w:bidi="en-GB"/>
        </w:rPr>
        <w:t xml:space="preserve">provided </w:t>
      </w:r>
      <w:r w:rsidR="00BF7A9B" w:rsidRPr="0018297E">
        <w:rPr>
          <w:rFonts w:ascii="Arial" w:eastAsia="Arial" w:hAnsi="Arial" w:cs="Arial"/>
          <w:sz w:val="18"/>
          <w:lang w:bidi="en-GB"/>
        </w:rPr>
        <w:t xml:space="preserve">that </w:t>
      </w:r>
      <w:r w:rsidRPr="0018297E">
        <w:rPr>
          <w:rFonts w:ascii="Arial" w:eastAsia="Arial" w:hAnsi="Arial" w:cs="Arial"/>
          <w:sz w:val="18"/>
          <w:lang w:bidi="en-GB"/>
        </w:rPr>
        <w:t xml:space="preserve">written notice in text form (within the meaning of section 126b German Civil Code (BGB)) </w:t>
      </w:r>
      <w:r w:rsidR="00BF7A9B" w:rsidRPr="0018297E">
        <w:rPr>
          <w:rFonts w:ascii="Arial" w:eastAsia="Arial" w:hAnsi="Arial" w:cs="Arial"/>
          <w:sz w:val="18"/>
          <w:lang w:bidi="en-GB"/>
        </w:rPr>
        <w:t>is given at least two days prior to the commence-</w:t>
      </w:r>
      <w:proofErr w:type="spellStart"/>
      <w:r w:rsidR="00BF7A9B" w:rsidRPr="0018297E">
        <w:rPr>
          <w:rFonts w:ascii="Arial" w:eastAsia="Arial" w:hAnsi="Arial" w:cs="Arial"/>
          <w:sz w:val="18"/>
          <w:lang w:bidi="en-GB"/>
        </w:rPr>
        <w:t>ment</w:t>
      </w:r>
      <w:proofErr w:type="spellEnd"/>
      <w:r w:rsidR="00BF7A9B" w:rsidRPr="0018297E">
        <w:rPr>
          <w:rFonts w:ascii="Arial" w:eastAsia="Arial" w:hAnsi="Arial" w:cs="Arial"/>
          <w:sz w:val="18"/>
          <w:lang w:bidi="en-GB"/>
        </w:rPr>
        <w:t xml:space="preserve"> of the insured transport.</w:t>
      </w:r>
    </w:p>
    <w:p w14:paraId="320852DB" w14:textId="6089F912" w:rsidR="002B3735" w:rsidRPr="0018297E" w:rsidRDefault="002B3735" w:rsidP="002B3735">
      <w:pPr>
        <w:spacing w:after="100"/>
        <w:ind w:left="709" w:hanging="709"/>
        <w:jc w:val="both"/>
        <w:rPr>
          <w:rFonts w:ascii="Arial" w:hAnsi="Arial"/>
          <w:sz w:val="18"/>
        </w:rPr>
      </w:pPr>
      <w:r w:rsidRPr="0018297E">
        <w:rPr>
          <w:rFonts w:ascii="Arial" w:eastAsia="Arial" w:hAnsi="Arial" w:cs="Arial"/>
          <w:sz w:val="18"/>
          <w:lang w:bidi="en-GB"/>
        </w:rPr>
        <w:t>5.1.1</w:t>
      </w:r>
      <w:r w:rsidRPr="0018297E">
        <w:rPr>
          <w:rFonts w:ascii="Arial" w:eastAsia="Arial" w:hAnsi="Arial" w:cs="Arial"/>
          <w:sz w:val="18"/>
          <w:lang w:bidi="en-GB"/>
        </w:rPr>
        <w:tab/>
      </w:r>
      <w:r w:rsidR="00BF7A9B" w:rsidRPr="0018297E">
        <w:rPr>
          <w:rFonts w:ascii="Arial" w:eastAsia="Arial" w:hAnsi="Arial" w:cs="Arial"/>
          <w:sz w:val="18"/>
          <w:lang w:bidi="en-GB"/>
        </w:rPr>
        <w:t>The cancellation may be limited to parts of the geo-graphical scope of insurance</w:t>
      </w:r>
      <w:r w:rsidRPr="0018297E">
        <w:rPr>
          <w:rFonts w:ascii="Arial" w:eastAsia="Arial" w:hAnsi="Arial" w:cs="Arial"/>
          <w:sz w:val="18"/>
          <w:lang w:bidi="en-GB"/>
        </w:rPr>
        <w:t>.</w:t>
      </w:r>
    </w:p>
    <w:p w14:paraId="007FD44A" w14:textId="0F168D8E" w:rsidR="00F51B22" w:rsidRPr="0018297E" w:rsidRDefault="00BB7E2C" w:rsidP="00BB7E2C">
      <w:pPr>
        <w:tabs>
          <w:tab w:val="left" w:pos="709"/>
        </w:tabs>
        <w:spacing w:after="100"/>
        <w:ind w:left="709" w:hanging="709"/>
        <w:jc w:val="both"/>
        <w:rPr>
          <w:rFonts w:ascii="Arial" w:hAnsi="Arial"/>
          <w:sz w:val="18"/>
        </w:rPr>
      </w:pPr>
      <w:r w:rsidRPr="0018297E">
        <w:rPr>
          <w:rFonts w:ascii="Arial" w:eastAsia="Arial" w:hAnsi="Arial" w:cs="Arial"/>
          <w:sz w:val="18"/>
          <w:lang w:bidi="en-GB"/>
        </w:rPr>
        <w:t>5.1.2</w:t>
      </w:r>
      <w:r w:rsidRPr="0018297E">
        <w:rPr>
          <w:rFonts w:ascii="Arial" w:eastAsia="Arial" w:hAnsi="Arial" w:cs="Arial"/>
          <w:sz w:val="18"/>
          <w:lang w:bidi="en-GB"/>
        </w:rPr>
        <w:tab/>
        <w:t xml:space="preserve">The insurance of goods in storage, save for goods in transport-related interim storage, may be cancelled, even after the commencement of risk; the cancellation </w:t>
      </w:r>
      <w:proofErr w:type="gramStart"/>
      <w:r w:rsidRPr="0018297E">
        <w:rPr>
          <w:rFonts w:ascii="Arial" w:eastAsia="Arial" w:hAnsi="Arial" w:cs="Arial"/>
          <w:sz w:val="18"/>
          <w:lang w:bidi="en-GB"/>
        </w:rPr>
        <w:t>enters into</w:t>
      </w:r>
      <w:proofErr w:type="gramEnd"/>
      <w:r w:rsidRPr="0018297E">
        <w:rPr>
          <w:rFonts w:ascii="Arial" w:eastAsia="Arial" w:hAnsi="Arial" w:cs="Arial"/>
          <w:sz w:val="18"/>
          <w:lang w:bidi="en-GB"/>
        </w:rPr>
        <w:t xml:space="preserve"> effect upon expiry of the notice period at the next declared expiry date, but no later than after four weeks.</w:t>
      </w:r>
    </w:p>
    <w:p w14:paraId="42FFD70D" w14:textId="6616C22B" w:rsidR="00F51B22" w:rsidRPr="0018297E" w:rsidRDefault="00BA33E6" w:rsidP="00BF7A9B">
      <w:pPr>
        <w:tabs>
          <w:tab w:val="left" w:pos="709"/>
        </w:tabs>
        <w:spacing w:after="100"/>
        <w:ind w:left="709" w:hanging="709"/>
        <w:jc w:val="both"/>
        <w:rPr>
          <w:rFonts w:ascii="Arial" w:eastAsia="Arial" w:hAnsi="Arial" w:cs="Arial"/>
          <w:sz w:val="18"/>
          <w:lang w:bidi="en-GB"/>
        </w:rPr>
      </w:pPr>
      <w:r w:rsidRPr="0018297E">
        <w:rPr>
          <w:rFonts w:ascii="Arial" w:eastAsia="Arial" w:hAnsi="Arial" w:cs="Arial"/>
          <w:sz w:val="18"/>
          <w:lang w:bidi="en-GB"/>
        </w:rPr>
        <w:t>5.2</w:t>
      </w:r>
      <w:r w:rsidRPr="0018297E">
        <w:rPr>
          <w:rFonts w:ascii="Arial" w:eastAsia="Arial" w:hAnsi="Arial" w:cs="Arial"/>
          <w:sz w:val="18"/>
          <w:lang w:bidi="en-GB"/>
        </w:rPr>
        <w:tab/>
        <w:t xml:space="preserve">Within four weeks of such a cancellation by the Insurer, the Insured may cancel – for their own part – the entire insurance contract by giving one week’s written notice in text form (within the meaning of section 126b German Civil Code (BGB)). </w:t>
      </w:r>
    </w:p>
    <w:p w14:paraId="6BE9E217" w14:textId="3E446CAA" w:rsidR="00F51B22" w:rsidRPr="0018297E" w:rsidRDefault="00BA33E6" w:rsidP="00BF7A9B">
      <w:pPr>
        <w:tabs>
          <w:tab w:val="left" w:pos="709"/>
        </w:tabs>
        <w:spacing w:after="100"/>
        <w:ind w:left="709" w:hanging="709"/>
        <w:jc w:val="both"/>
        <w:rPr>
          <w:rFonts w:ascii="Arial" w:eastAsia="Arial" w:hAnsi="Arial" w:cs="Arial"/>
          <w:sz w:val="18"/>
          <w:lang w:bidi="en-GB"/>
        </w:rPr>
      </w:pPr>
      <w:r w:rsidRPr="0018297E">
        <w:rPr>
          <w:rFonts w:ascii="Arial" w:eastAsia="Arial" w:hAnsi="Arial" w:cs="Arial"/>
          <w:sz w:val="18"/>
          <w:lang w:bidi="en-GB"/>
        </w:rPr>
        <w:t>5.3</w:t>
      </w:r>
      <w:r w:rsidRPr="0018297E">
        <w:rPr>
          <w:rFonts w:ascii="Arial" w:eastAsia="Arial" w:hAnsi="Arial" w:cs="Arial"/>
          <w:sz w:val="18"/>
          <w:lang w:bidi="en-GB"/>
        </w:rPr>
        <w:tab/>
      </w:r>
      <w:r w:rsidR="00BF7A9B" w:rsidRPr="0018297E">
        <w:rPr>
          <w:rFonts w:ascii="Arial" w:eastAsia="Arial" w:hAnsi="Arial" w:cs="Arial"/>
          <w:sz w:val="18"/>
          <w:lang w:bidi="en-GB"/>
        </w:rPr>
        <w:t xml:space="preserve">The notice of cancellation given by the leading </w:t>
      </w:r>
      <w:proofErr w:type="spellStart"/>
      <w:r w:rsidR="00BF7A9B" w:rsidRPr="0018297E">
        <w:rPr>
          <w:rFonts w:ascii="Arial" w:eastAsia="Arial" w:hAnsi="Arial" w:cs="Arial"/>
          <w:sz w:val="18"/>
          <w:lang w:bidi="en-GB"/>
        </w:rPr>
        <w:t>Insur</w:t>
      </w:r>
      <w:proofErr w:type="spellEnd"/>
      <w:r w:rsidR="00BF7A9B" w:rsidRPr="0018297E">
        <w:rPr>
          <w:rFonts w:ascii="Arial" w:eastAsia="Arial" w:hAnsi="Arial" w:cs="Arial"/>
          <w:sz w:val="18"/>
          <w:lang w:bidi="en-GB"/>
        </w:rPr>
        <w:t>-er shall apply correspondingly to all Co-Insurers</w:t>
      </w:r>
      <w:r w:rsidRPr="0018297E">
        <w:rPr>
          <w:rFonts w:ascii="Arial" w:eastAsia="Arial" w:hAnsi="Arial" w:cs="Arial"/>
          <w:sz w:val="18"/>
          <w:lang w:bidi="en-GB"/>
        </w:rPr>
        <w:t>.</w:t>
      </w:r>
    </w:p>
    <w:p w14:paraId="069385E5" w14:textId="77777777" w:rsidR="006452A6" w:rsidRPr="0018297E" w:rsidRDefault="006452A6" w:rsidP="00F51B22">
      <w:pPr>
        <w:tabs>
          <w:tab w:val="left" w:pos="567"/>
          <w:tab w:val="left" w:pos="709"/>
        </w:tabs>
        <w:spacing w:after="100"/>
        <w:ind w:left="709" w:hanging="709"/>
        <w:jc w:val="both"/>
        <w:rPr>
          <w:rFonts w:ascii="Arial" w:hAnsi="Arial"/>
          <w:sz w:val="18"/>
        </w:rPr>
      </w:pPr>
    </w:p>
    <w:sectPr w:rsidR="006452A6" w:rsidRPr="0018297E" w:rsidSect="00F51B22">
      <w:endnotePr>
        <w:numFmt w:val="decimal"/>
      </w:endnotePr>
      <w:type w:val="continuous"/>
      <w:pgSz w:w="11907" w:h="16840" w:code="9"/>
      <w:pgMar w:top="1066" w:right="850" w:bottom="567" w:left="850" w:header="357" w:footer="351" w:gutter="0"/>
      <w:pgNumType w:start="1"/>
      <w:cols w:num="2" w:space="567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DBC0A" w14:textId="77777777" w:rsidR="00171690" w:rsidRDefault="00171690">
      <w:pPr>
        <w:spacing w:line="20" w:lineRule="exact"/>
        <w:rPr>
          <w:sz w:val="24"/>
        </w:rPr>
      </w:pPr>
    </w:p>
  </w:endnote>
  <w:endnote w:type="continuationSeparator" w:id="0">
    <w:p w14:paraId="30AAA145" w14:textId="77777777" w:rsidR="00171690" w:rsidRDefault="00171690">
      <w:r>
        <w:rPr>
          <w:sz w:val="24"/>
        </w:rPr>
        <w:t xml:space="preserve"> </w:t>
      </w:r>
    </w:p>
  </w:endnote>
  <w:endnote w:type="continuationNotice" w:id="1">
    <w:p w14:paraId="2CF1243D" w14:textId="77777777" w:rsidR="00171690" w:rsidRDefault="0017169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8B1F" w14:textId="77777777" w:rsidR="00103762" w:rsidRPr="009D0073" w:rsidRDefault="00103762" w:rsidP="009D0073">
    <w:pPr>
      <w:tabs>
        <w:tab w:val="left" w:pos="0"/>
        <w:tab w:val="right" w:pos="5101"/>
      </w:tabs>
      <w:suppressAutoHyphens/>
      <w:jc w:val="right"/>
      <w:rPr>
        <w:rStyle w:val="Seitenzahl"/>
        <w:rFonts w:ascii="Arial" w:hAnsi="Arial" w:cs="Arial"/>
        <w:sz w:val="16"/>
      </w:rPr>
    </w:pPr>
    <w:r w:rsidRPr="009D0073">
      <w:rPr>
        <w:rStyle w:val="Seitenzahl"/>
        <w:rFonts w:ascii="Arial" w:eastAsia="Arial" w:hAnsi="Arial" w:cs="Arial"/>
        <w:sz w:val="16"/>
        <w:lang w:bidi="en-GB"/>
      </w:rPr>
      <w:fldChar w:fldCharType="begin"/>
    </w:r>
    <w:r w:rsidRPr="009D0073">
      <w:rPr>
        <w:rStyle w:val="Seitenzahl"/>
        <w:rFonts w:ascii="Arial" w:eastAsia="Arial" w:hAnsi="Arial" w:cs="Arial"/>
        <w:sz w:val="16"/>
        <w:lang w:bidi="en-GB"/>
      </w:rPr>
      <w:instrText xml:space="preserve"> PAGE  \* MERGEFORMAT </w:instrText>
    </w:r>
    <w:r w:rsidRPr="009D0073">
      <w:rPr>
        <w:rStyle w:val="Seitenzahl"/>
        <w:rFonts w:ascii="Arial" w:eastAsia="Arial" w:hAnsi="Arial" w:cs="Arial"/>
        <w:sz w:val="16"/>
        <w:lang w:bidi="en-GB"/>
      </w:rPr>
      <w:fldChar w:fldCharType="separate"/>
    </w:r>
    <w:r>
      <w:rPr>
        <w:rStyle w:val="Seitenzahl"/>
        <w:rFonts w:ascii="Arial" w:eastAsia="Arial" w:hAnsi="Arial" w:cs="Arial"/>
        <w:noProof/>
        <w:sz w:val="16"/>
        <w:lang w:bidi="en-GB"/>
      </w:rPr>
      <w:t>1</w:t>
    </w:r>
    <w:r w:rsidRPr="009D0073">
      <w:rPr>
        <w:rStyle w:val="Seitenzahl"/>
        <w:rFonts w:ascii="Arial" w:eastAsia="Arial" w:hAnsi="Arial" w:cs="Arial"/>
        <w:sz w:val="16"/>
        <w:lang w:bidi="en-GB"/>
      </w:rPr>
      <w:fldChar w:fldCharType="end"/>
    </w:r>
    <w:r w:rsidRPr="009D0073">
      <w:rPr>
        <w:rStyle w:val="Seitenzahl"/>
        <w:rFonts w:ascii="Arial" w:eastAsia="Arial" w:hAnsi="Arial" w:cs="Arial"/>
        <w:sz w:val="16"/>
        <w:lang w:bidi="en-GB"/>
      </w:rPr>
      <w:t>/</w:t>
    </w:r>
    <w:r w:rsidRPr="009D0073">
      <w:rPr>
        <w:rStyle w:val="Seitenzahl"/>
        <w:rFonts w:ascii="Arial" w:eastAsia="Arial" w:hAnsi="Arial" w:cs="Arial"/>
        <w:sz w:val="16"/>
        <w:lang w:bidi="en-GB"/>
      </w:rPr>
      <w:fldChar w:fldCharType="begin"/>
    </w:r>
    <w:r w:rsidRPr="009D0073">
      <w:rPr>
        <w:rStyle w:val="Seitenzahl"/>
        <w:rFonts w:ascii="Arial" w:eastAsia="Arial" w:hAnsi="Arial" w:cs="Arial"/>
        <w:sz w:val="16"/>
        <w:lang w:bidi="en-GB"/>
      </w:rPr>
      <w:instrText xml:space="preserve"> NUMPAGES  \* MERGEFORMAT </w:instrText>
    </w:r>
    <w:r w:rsidRPr="009D0073">
      <w:rPr>
        <w:rStyle w:val="Seitenzahl"/>
        <w:rFonts w:ascii="Arial" w:eastAsia="Arial" w:hAnsi="Arial" w:cs="Arial"/>
        <w:sz w:val="16"/>
        <w:lang w:bidi="en-GB"/>
      </w:rPr>
      <w:fldChar w:fldCharType="separate"/>
    </w:r>
    <w:r w:rsidR="00585A2A">
      <w:rPr>
        <w:rStyle w:val="Seitenzahl"/>
        <w:rFonts w:ascii="Arial" w:eastAsia="Arial" w:hAnsi="Arial" w:cs="Arial"/>
        <w:noProof/>
        <w:sz w:val="16"/>
        <w:lang w:bidi="en-GB"/>
      </w:rPr>
      <w:t>1</w:t>
    </w:r>
    <w:r w:rsidRPr="009D0073">
      <w:rPr>
        <w:rStyle w:val="Seitenzahl"/>
        <w:rFonts w:ascii="Arial" w:eastAsia="Arial" w:hAnsi="Arial" w:cs="Arial"/>
        <w:sz w:val="16"/>
        <w:lang w:bidi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824E" w14:textId="4D53BFEB" w:rsidR="00103762" w:rsidRPr="00F51B22" w:rsidRDefault="005312B1" w:rsidP="00F51B22">
    <w:pPr>
      <w:pStyle w:val="Fuzeile"/>
      <w:tabs>
        <w:tab w:val="clear" w:pos="4536"/>
        <w:tab w:val="clear" w:pos="9072"/>
        <w:tab w:val="left" w:pos="9213"/>
        <w:tab w:val="right" w:pos="10205"/>
      </w:tabs>
      <w:rPr>
        <w:rFonts w:ascii="Arial" w:hAnsi="Arial" w:cs="Arial"/>
        <w:sz w:val="16"/>
      </w:rPr>
    </w:pPr>
    <w:r>
      <w:rPr>
        <w:rFonts w:ascii="Arial" w:eastAsia="Arial" w:hAnsi="Arial" w:cs="Arial"/>
        <w:noProof/>
        <w:sz w:val="16"/>
        <w:lang w:bidi="en-GB"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5B65CD07" wp14:editId="5E25C463">
              <wp:simplePos x="0" y="0"/>
              <wp:positionH relativeFrom="column">
                <wp:posOffset>10795</wp:posOffset>
              </wp:positionH>
              <wp:positionV relativeFrom="paragraph">
                <wp:posOffset>-17780</wp:posOffset>
              </wp:positionV>
              <wp:extent cx="457200" cy="0"/>
              <wp:effectExtent l="0" t="0" r="0" b="0"/>
              <wp:wrapNone/>
              <wp:docPr id="68161952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EA7550" id="Line 7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-1.4pt" to="36.8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" o:allowincell="f">
              <w10:anchorlock/>
            </v:line>
          </w:pict>
        </mc:Fallback>
      </mc:AlternateContent>
    </w:r>
    <w:r w:rsidR="00103762" w:rsidRPr="00F51B22">
      <w:rPr>
        <w:rFonts w:ascii="Arial" w:eastAsia="Arial" w:hAnsi="Arial" w:cs="Arial"/>
        <w:sz w:val="16"/>
        <w:lang w:bidi="en-GB"/>
      </w:rPr>
      <w:t>DTV Cargo 2000/2011 – Confiscation Clause, January 2026</w:t>
    </w:r>
    <w:r w:rsidR="00103762" w:rsidRPr="00F51B22">
      <w:rPr>
        <w:rFonts w:ascii="Arial" w:eastAsia="Arial" w:hAnsi="Arial" w:cs="Arial"/>
        <w:sz w:val="16"/>
        <w:lang w:bidi="en-GB"/>
      </w:rPr>
      <w:tab/>
      <w:t>Page</w:t>
    </w:r>
    <w:r w:rsidR="00103762" w:rsidRPr="00F51B22">
      <w:rPr>
        <w:rFonts w:ascii="Arial" w:eastAsia="Arial" w:hAnsi="Arial" w:cs="Arial"/>
        <w:sz w:val="16"/>
        <w:lang w:bidi="en-GB"/>
      </w:rPr>
      <w:tab/>
    </w:r>
    <w:r w:rsidR="00103762" w:rsidRPr="00F51B22">
      <w:rPr>
        <w:rFonts w:ascii="Arial" w:eastAsia="Arial" w:hAnsi="Arial" w:cs="Arial"/>
        <w:sz w:val="16"/>
        <w:lang w:bidi="en-GB"/>
      </w:rPr>
      <w:fldChar w:fldCharType="begin"/>
    </w:r>
    <w:r w:rsidR="00103762" w:rsidRPr="00F51B22">
      <w:rPr>
        <w:rFonts w:ascii="Arial" w:eastAsia="Arial" w:hAnsi="Arial" w:cs="Arial"/>
        <w:sz w:val="16"/>
        <w:lang w:bidi="en-GB"/>
      </w:rPr>
      <w:instrText xml:space="preserve"> PAGE  \* MERGEFORMAT </w:instrText>
    </w:r>
    <w:r w:rsidR="00103762" w:rsidRPr="00F51B22">
      <w:rPr>
        <w:rFonts w:ascii="Arial" w:eastAsia="Arial" w:hAnsi="Arial" w:cs="Arial"/>
        <w:sz w:val="16"/>
        <w:lang w:bidi="en-GB"/>
      </w:rPr>
      <w:fldChar w:fldCharType="separate"/>
    </w:r>
    <w:r w:rsidR="00585A2A">
      <w:rPr>
        <w:rFonts w:ascii="Arial" w:eastAsia="Arial" w:hAnsi="Arial" w:cs="Arial"/>
        <w:noProof/>
        <w:sz w:val="16"/>
        <w:lang w:bidi="en-GB"/>
      </w:rPr>
      <w:t>1</w:t>
    </w:r>
    <w:r w:rsidR="00103762" w:rsidRPr="00F51B22">
      <w:rPr>
        <w:rFonts w:ascii="Arial" w:eastAsia="Arial" w:hAnsi="Arial" w:cs="Arial"/>
        <w:sz w:val="16"/>
        <w:lang w:bidi="en-GB"/>
      </w:rPr>
      <w:fldChar w:fldCharType="end"/>
    </w:r>
    <w:r w:rsidR="00103762" w:rsidRPr="00F51B22">
      <w:rPr>
        <w:rFonts w:ascii="Arial" w:eastAsia="Arial" w:hAnsi="Arial" w:cs="Arial"/>
        <w:sz w:val="16"/>
        <w:lang w:bidi="en-GB"/>
      </w:rPr>
      <w:t xml:space="preserve"> / </w:t>
    </w:r>
    <w:r w:rsidR="00103762" w:rsidRPr="00F51B22">
      <w:rPr>
        <w:rFonts w:ascii="Arial" w:eastAsia="Arial" w:hAnsi="Arial" w:cs="Arial"/>
        <w:sz w:val="16"/>
        <w:lang w:bidi="en-GB"/>
      </w:rPr>
      <w:fldChar w:fldCharType="begin"/>
    </w:r>
    <w:r w:rsidR="00103762" w:rsidRPr="00F51B22">
      <w:rPr>
        <w:rFonts w:ascii="Arial" w:eastAsia="Arial" w:hAnsi="Arial" w:cs="Arial"/>
        <w:sz w:val="16"/>
        <w:lang w:bidi="en-GB"/>
      </w:rPr>
      <w:instrText xml:space="preserve"> NUMPAGES  \* MERGEFORMAT </w:instrText>
    </w:r>
    <w:r w:rsidR="00103762" w:rsidRPr="00F51B22">
      <w:rPr>
        <w:rFonts w:ascii="Arial" w:eastAsia="Arial" w:hAnsi="Arial" w:cs="Arial"/>
        <w:sz w:val="16"/>
        <w:lang w:bidi="en-GB"/>
      </w:rPr>
      <w:fldChar w:fldCharType="separate"/>
    </w:r>
    <w:r w:rsidR="00585A2A">
      <w:rPr>
        <w:rFonts w:ascii="Arial" w:eastAsia="Arial" w:hAnsi="Arial" w:cs="Arial"/>
        <w:noProof/>
        <w:sz w:val="16"/>
        <w:lang w:bidi="en-GB"/>
      </w:rPr>
      <w:t>1</w:t>
    </w:r>
    <w:r w:rsidR="00103762" w:rsidRPr="00F51B22">
      <w:rPr>
        <w:rFonts w:ascii="Arial" w:eastAsia="Arial" w:hAnsi="Arial" w:cs="Arial"/>
        <w:sz w:val="16"/>
        <w:lang w:bidi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6529C" w14:textId="77777777" w:rsidR="00171690" w:rsidRDefault="00171690">
      <w:r>
        <w:rPr>
          <w:sz w:val="24"/>
        </w:rPr>
        <w:separator/>
      </w:r>
    </w:p>
  </w:footnote>
  <w:footnote w:type="continuationSeparator" w:id="0">
    <w:p w14:paraId="44690773" w14:textId="77777777" w:rsidR="00171690" w:rsidRDefault="00171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E017" w14:textId="659AFD14" w:rsidR="00103762" w:rsidRDefault="005312B1" w:rsidP="00F51B22">
    <w:pPr>
      <w:pStyle w:val="Textkrper2"/>
      <w:pBdr>
        <w:bottom w:val="single" w:sz="4" w:space="1" w:color="auto"/>
      </w:pBdr>
      <w:spacing w:after="100"/>
      <w:rPr>
        <w:rFonts w:cs="Arial"/>
        <w:b/>
        <w:sz w:val="24"/>
      </w:rPr>
    </w:pPr>
    <w:r>
      <w:rPr>
        <w:noProof/>
        <w:lang w:bidi="en-GB"/>
      </w:rPr>
      <w:drawing>
        <wp:anchor distT="0" distB="0" distL="114300" distR="114300" simplePos="0" relativeHeight="251656704" behindDoc="0" locked="0" layoutInCell="1" allowOverlap="1" wp14:anchorId="52211D17" wp14:editId="7EDF3158">
          <wp:simplePos x="0" y="0"/>
          <wp:positionH relativeFrom="margin">
            <wp:posOffset>0</wp:posOffset>
          </wp:positionH>
          <wp:positionV relativeFrom="paragraph">
            <wp:posOffset>135255</wp:posOffset>
          </wp:positionV>
          <wp:extent cx="2343150" cy="409575"/>
          <wp:effectExtent l="0" t="0" r="0" b="0"/>
          <wp:wrapNone/>
          <wp:docPr id="9" name="Grafik 1" descr="Logo Gesamtverband der Versicher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Gesamtverband der Versicher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95" t="27907" r="6761" b="22093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C2BDCD" w14:textId="77777777" w:rsidR="00103762" w:rsidRDefault="00103762" w:rsidP="00F51B22">
    <w:pPr>
      <w:pStyle w:val="Textkrper2"/>
      <w:pBdr>
        <w:bottom w:val="single" w:sz="4" w:space="1" w:color="auto"/>
      </w:pBdr>
      <w:spacing w:after="100"/>
      <w:rPr>
        <w:rFonts w:cs="Arial"/>
        <w:b/>
        <w:sz w:val="24"/>
      </w:rPr>
    </w:pPr>
  </w:p>
  <w:p w14:paraId="7CF84D71" w14:textId="77777777" w:rsidR="00103762" w:rsidRDefault="00103762" w:rsidP="00F51B22">
    <w:pPr>
      <w:pStyle w:val="Textkrper2"/>
      <w:pBdr>
        <w:bottom w:val="single" w:sz="4" w:space="1" w:color="auto"/>
      </w:pBdr>
      <w:spacing w:after="100"/>
      <w:rPr>
        <w:rFonts w:cs="Arial"/>
        <w:b/>
        <w:sz w:val="24"/>
      </w:rPr>
    </w:pPr>
  </w:p>
  <w:p w14:paraId="5CBFDE70" w14:textId="77777777" w:rsidR="00103762" w:rsidRPr="00F51B22" w:rsidRDefault="00103762" w:rsidP="00F51B22">
    <w:pPr>
      <w:pStyle w:val="Textkrper2"/>
      <w:pBdr>
        <w:bottom w:val="single" w:sz="4" w:space="1" w:color="auto"/>
      </w:pBdr>
      <w:spacing w:after="100"/>
      <w:rPr>
        <w:rFonts w:cs="Arial"/>
        <w:b/>
        <w:sz w:val="24"/>
      </w:rPr>
    </w:pPr>
  </w:p>
  <w:p w14:paraId="47C5483A" w14:textId="77777777" w:rsidR="00103762" w:rsidRPr="00F51B22" w:rsidRDefault="00103762" w:rsidP="00F51B22">
    <w:pPr>
      <w:pStyle w:val="Textkrper2"/>
      <w:pBdr>
        <w:bottom w:val="single" w:sz="4" w:space="1" w:color="auto"/>
      </w:pBdr>
      <w:rPr>
        <w:sz w:val="20"/>
      </w:rPr>
    </w:pPr>
    <w:r w:rsidRPr="00F51B22">
      <w:rPr>
        <w:sz w:val="20"/>
        <w:lang w:bidi="en-GB"/>
      </w:rPr>
      <w:t>Non-binding Recommendations of the German Insurance Association (GDV)</w:t>
    </w:r>
    <w:r w:rsidRPr="00F51B22">
      <w:rPr>
        <w:sz w:val="20"/>
        <w:lang w:bidi="en-GB"/>
      </w:rPr>
      <w:br/>
      <w:t>for Facultative Use. Other conditions may be agreed.</w:t>
    </w:r>
    <w:r w:rsidRPr="00F51B22">
      <w:rPr>
        <w:sz w:val="20"/>
        <w:lang w:bidi="en-GB"/>
      </w:rPr>
      <w:br/>
      <w:t>In case of deviations, only the German wording shall be binding and prevail.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00A57D4"/>
    <w:lvl w:ilvl="0">
      <w:numFmt w:val="decimal"/>
      <w:pStyle w:val="aaadejongAufzStrich"/>
      <w:lvlText w:val="*"/>
      <w:lvlJc w:val="left"/>
    </w:lvl>
  </w:abstractNum>
  <w:abstractNum w:abstractNumId="1" w15:restartNumberingAfterBreak="0">
    <w:nsid w:val="0900672D"/>
    <w:multiLevelType w:val="multilevel"/>
    <w:tmpl w:val="0A5A58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EA929D1"/>
    <w:multiLevelType w:val="hybridMultilevel"/>
    <w:tmpl w:val="CCEE63A6"/>
    <w:lvl w:ilvl="0" w:tplc="6C08DF4E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68B0C7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70CD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28B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9CB8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CA18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007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AA4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624F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11F16"/>
    <w:multiLevelType w:val="multilevel"/>
    <w:tmpl w:val="0A5A58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50019A1"/>
    <w:multiLevelType w:val="hybridMultilevel"/>
    <w:tmpl w:val="D43240AE"/>
    <w:lvl w:ilvl="0" w:tplc="46A6C990">
      <w:start w:val="1"/>
      <w:numFmt w:val="bullet"/>
      <w:lvlText w:val=""/>
      <w:lvlJc w:val="left"/>
      <w:pPr>
        <w:tabs>
          <w:tab w:val="num" w:pos="927"/>
        </w:tabs>
        <w:ind w:left="927" w:hanging="357"/>
      </w:pPr>
      <w:rPr>
        <w:rFonts w:ascii="Symbol" w:hAnsi="Symbol" w:hint="default"/>
      </w:rPr>
    </w:lvl>
    <w:lvl w:ilvl="1" w:tplc="27A0B0FC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3DB01CC4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DBFAC1F0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A46E9B58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FAE83BC4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4C0A807C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BC14E844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37CC0242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25E15E4D"/>
    <w:multiLevelType w:val="hybridMultilevel"/>
    <w:tmpl w:val="8FFE96BE"/>
    <w:lvl w:ilvl="0" w:tplc="F6129378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DA8F9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2832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CE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05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C6A9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4E2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66FB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7CC1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57178C"/>
    <w:multiLevelType w:val="hybridMultilevel"/>
    <w:tmpl w:val="2F621AB6"/>
    <w:lvl w:ilvl="0" w:tplc="17567E80">
      <w:start w:val="1"/>
      <w:numFmt w:val="bullet"/>
      <w:lvlText w:val=""/>
      <w:lvlJc w:val="left"/>
      <w:pPr>
        <w:tabs>
          <w:tab w:val="num" w:pos="1062"/>
        </w:tabs>
        <w:ind w:left="1062" w:hanging="357"/>
      </w:pPr>
      <w:rPr>
        <w:rFonts w:ascii="Symbol" w:hAnsi="Symbol" w:hint="default"/>
      </w:rPr>
    </w:lvl>
    <w:lvl w:ilvl="1" w:tplc="75C81972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A24A699E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355427BA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71B80E30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B13E2E3E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6A9683E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831ADACE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A31E3796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CD274B2"/>
    <w:multiLevelType w:val="multilevel"/>
    <w:tmpl w:val="6066B6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1E6544D"/>
    <w:multiLevelType w:val="hybridMultilevel"/>
    <w:tmpl w:val="27E4C92A"/>
    <w:lvl w:ilvl="0" w:tplc="AE4E62B6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69CAC924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EB12CBDA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00287F0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77E85C2E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E7CC4412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FA7ACAF0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D666B660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209442BC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52FF36DF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56E315E5"/>
    <w:multiLevelType w:val="hybridMultilevel"/>
    <w:tmpl w:val="6964816C"/>
    <w:lvl w:ilvl="0" w:tplc="298EB6D2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3D881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5A5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704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DAFD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7239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E4C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8EEA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040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2501B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625D64ED"/>
    <w:multiLevelType w:val="multilevel"/>
    <w:tmpl w:val="528C5C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52934A1"/>
    <w:multiLevelType w:val="singleLevel"/>
    <w:tmpl w:val="62467D7E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 w15:restartNumberingAfterBreak="0">
    <w:nsid w:val="6A62744D"/>
    <w:multiLevelType w:val="multilevel"/>
    <w:tmpl w:val="0A5A58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BE27948"/>
    <w:multiLevelType w:val="singleLevel"/>
    <w:tmpl w:val="127C81B2"/>
    <w:lvl w:ilvl="0">
      <w:start w:val="2"/>
      <w:numFmt w:val="decimal"/>
      <w:lvlText w:val="2.%1 "/>
      <w:legacy w:legacy="1" w:legacySpace="0" w:legacyIndent="283"/>
      <w:lvlJc w:val="left"/>
      <w:pPr>
        <w:ind w:left="1417" w:hanging="283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16" w15:restartNumberingAfterBreak="0">
    <w:nsid w:val="6CEF6969"/>
    <w:multiLevelType w:val="multilevel"/>
    <w:tmpl w:val="4CF4B7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DE41653"/>
    <w:multiLevelType w:val="singleLevel"/>
    <w:tmpl w:val="2FE0F154"/>
    <w:lvl w:ilvl="0">
      <w:start w:val="1"/>
      <w:numFmt w:val="decimal"/>
      <w:lvlText w:val="2.%1 "/>
      <w:legacy w:legacy="1" w:legacySpace="0" w:legacyIndent="283"/>
      <w:lvlJc w:val="left"/>
      <w:pPr>
        <w:ind w:left="1417" w:hanging="283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18" w15:restartNumberingAfterBreak="0">
    <w:nsid w:val="75480A84"/>
    <w:multiLevelType w:val="multilevel"/>
    <w:tmpl w:val="4CF4B7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B345E74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 w16cid:durableId="1645620095">
    <w:abstractNumId w:val="17"/>
  </w:num>
  <w:num w:numId="2" w16cid:durableId="1927223435">
    <w:abstractNumId w:val="0"/>
    <w:lvlOverride w:ilvl="0">
      <w:lvl w:ilvl="0">
        <w:start w:val="1"/>
        <w:numFmt w:val="bullet"/>
        <w:pStyle w:val="aaadejongAufzStrich"/>
        <w:lvlText w:val="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3" w16cid:durableId="1362970854">
    <w:abstractNumId w:val="15"/>
  </w:num>
  <w:num w:numId="4" w16cid:durableId="1481385061">
    <w:abstractNumId w:val="19"/>
  </w:num>
  <w:num w:numId="5" w16cid:durableId="2024431114">
    <w:abstractNumId w:val="13"/>
  </w:num>
  <w:num w:numId="6" w16cid:durableId="1780562773">
    <w:abstractNumId w:val="0"/>
    <w:lvlOverride w:ilvl="0">
      <w:lvl w:ilvl="0">
        <w:start w:val="1"/>
        <w:numFmt w:val="bullet"/>
        <w:pStyle w:val="aaadejongAufzStrich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1711035356">
    <w:abstractNumId w:val="9"/>
  </w:num>
  <w:num w:numId="8" w16cid:durableId="2020811997">
    <w:abstractNumId w:val="6"/>
  </w:num>
  <w:num w:numId="9" w16cid:durableId="2013483340">
    <w:abstractNumId w:val="11"/>
  </w:num>
  <w:num w:numId="10" w16cid:durableId="413205404">
    <w:abstractNumId w:val="0"/>
    <w:lvlOverride w:ilvl="0">
      <w:lvl w:ilvl="0">
        <w:start w:val="1"/>
        <w:numFmt w:val="bullet"/>
        <w:pStyle w:val="aaadejongAufzStrich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11" w16cid:durableId="785003122">
    <w:abstractNumId w:val="5"/>
  </w:num>
  <w:num w:numId="12" w16cid:durableId="223689374">
    <w:abstractNumId w:val="12"/>
  </w:num>
  <w:num w:numId="13" w16cid:durableId="2049210393">
    <w:abstractNumId w:val="18"/>
  </w:num>
  <w:num w:numId="14" w16cid:durableId="832137011">
    <w:abstractNumId w:val="16"/>
  </w:num>
  <w:num w:numId="15" w16cid:durableId="1407337658">
    <w:abstractNumId w:val="7"/>
  </w:num>
  <w:num w:numId="16" w16cid:durableId="1372805116">
    <w:abstractNumId w:val="10"/>
  </w:num>
  <w:num w:numId="17" w16cid:durableId="600994522">
    <w:abstractNumId w:val="4"/>
  </w:num>
  <w:num w:numId="18" w16cid:durableId="1859469194">
    <w:abstractNumId w:val="2"/>
  </w:num>
  <w:num w:numId="19" w16cid:durableId="1109084227">
    <w:abstractNumId w:val="8"/>
  </w:num>
  <w:num w:numId="20" w16cid:durableId="1976837696">
    <w:abstractNumId w:val="14"/>
  </w:num>
  <w:num w:numId="21" w16cid:durableId="807287107">
    <w:abstractNumId w:val="3"/>
  </w:num>
  <w:num w:numId="22" w16cid:durableId="188686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24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2F"/>
    <w:rsid w:val="0001590F"/>
    <w:rsid w:val="00016DE0"/>
    <w:rsid w:val="000207F0"/>
    <w:rsid w:val="00043AD3"/>
    <w:rsid w:val="00044010"/>
    <w:rsid w:val="00045CD3"/>
    <w:rsid w:val="00047F1A"/>
    <w:rsid w:val="00062C77"/>
    <w:rsid w:val="00064690"/>
    <w:rsid w:val="00090D79"/>
    <w:rsid w:val="00097F1C"/>
    <w:rsid w:val="000A360D"/>
    <w:rsid w:val="000C5B37"/>
    <w:rsid w:val="000C6E9A"/>
    <w:rsid w:val="000D16D9"/>
    <w:rsid w:val="000D1E17"/>
    <w:rsid w:val="00103762"/>
    <w:rsid w:val="0011688A"/>
    <w:rsid w:val="00131D1D"/>
    <w:rsid w:val="001354C8"/>
    <w:rsid w:val="00171690"/>
    <w:rsid w:val="001735D0"/>
    <w:rsid w:val="001778EA"/>
    <w:rsid w:val="0018297E"/>
    <w:rsid w:val="001906EE"/>
    <w:rsid w:val="001B08AE"/>
    <w:rsid w:val="001B2C0D"/>
    <w:rsid w:val="002042D2"/>
    <w:rsid w:val="00222982"/>
    <w:rsid w:val="00236ECF"/>
    <w:rsid w:val="002460A8"/>
    <w:rsid w:val="00246265"/>
    <w:rsid w:val="00261CEC"/>
    <w:rsid w:val="00290968"/>
    <w:rsid w:val="002B3735"/>
    <w:rsid w:val="002B5EF3"/>
    <w:rsid w:val="002B7B98"/>
    <w:rsid w:val="002E3060"/>
    <w:rsid w:val="002E5AB6"/>
    <w:rsid w:val="00303235"/>
    <w:rsid w:val="003169AC"/>
    <w:rsid w:val="00334B76"/>
    <w:rsid w:val="00337FE1"/>
    <w:rsid w:val="0034651C"/>
    <w:rsid w:val="003533B4"/>
    <w:rsid w:val="003562A6"/>
    <w:rsid w:val="003566AA"/>
    <w:rsid w:val="00361378"/>
    <w:rsid w:val="0036567C"/>
    <w:rsid w:val="0036569C"/>
    <w:rsid w:val="0037665C"/>
    <w:rsid w:val="0038586E"/>
    <w:rsid w:val="00392AED"/>
    <w:rsid w:val="003A1AF2"/>
    <w:rsid w:val="003A4112"/>
    <w:rsid w:val="004148F0"/>
    <w:rsid w:val="0043208D"/>
    <w:rsid w:val="0046114A"/>
    <w:rsid w:val="00461A3F"/>
    <w:rsid w:val="00492F39"/>
    <w:rsid w:val="004B6B0B"/>
    <w:rsid w:val="004C6F65"/>
    <w:rsid w:val="004D3BB6"/>
    <w:rsid w:val="004D601B"/>
    <w:rsid w:val="004E444B"/>
    <w:rsid w:val="005034C1"/>
    <w:rsid w:val="00527183"/>
    <w:rsid w:val="00531117"/>
    <w:rsid w:val="005312B1"/>
    <w:rsid w:val="00553F7A"/>
    <w:rsid w:val="005548A8"/>
    <w:rsid w:val="00555EB5"/>
    <w:rsid w:val="00567CE4"/>
    <w:rsid w:val="00580F4C"/>
    <w:rsid w:val="00585A2A"/>
    <w:rsid w:val="005A1FD6"/>
    <w:rsid w:val="005A7DF7"/>
    <w:rsid w:val="005B279C"/>
    <w:rsid w:val="005F0B43"/>
    <w:rsid w:val="00607A0E"/>
    <w:rsid w:val="00614DFD"/>
    <w:rsid w:val="00617DA5"/>
    <w:rsid w:val="00620BA1"/>
    <w:rsid w:val="006452A6"/>
    <w:rsid w:val="0065654E"/>
    <w:rsid w:val="00683BBC"/>
    <w:rsid w:val="006854AE"/>
    <w:rsid w:val="006A1FD2"/>
    <w:rsid w:val="006E5F2C"/>
    <w:rsid w:val="006F740A"/>
    <w:rsid w:val="00706A8D"/>
    <w:rsid w:val="00724DB2"/>
    <w:rsid w:val="0077168D"/>
    <w:rsid w:val="00772166"/>
    <w:rsid w:val="007722EA"/>
    <w:rsid w:val="007846BB"/>
    <w:rsid w:val="007915F9"/>
    <w:rsid w:val="0079209D"/>
    <w:rsid w:val="00794F0A"/>
    <w:rsid w:val="007A0929"/>
    <w:rsid w:val="007A2EAA"/>
    <w:rsid w:val="007A6B0A"/>
    <w:rsid w:val="007B2865"/>
    <w:rsid w:val="007C2AE0"/>
    <w:rsid w:val="007D34EA"/>
    <w:rsid w:val="007E4967"/>
    <w:rsid w:val="00837DED"/>
    <w:rsid w:val="00840F3E"/>
    <w:rsid w:val="00854DE1"/>
    <w:rsid w:val="008A55E2"/>
    <w:rsid w:val="008A7BBC"/>
    <w:rsid w:val="008B177D"/>
    <w:rsid w:val="008C122D"/>
    <w:rsid w:val="008C55F3"/>
    <w:rsid w:val="008E04D2"/>
    <w:rsid w:val="008E6735"/>
    <w:rsid w:val="00912D07"/>
    <w:rsid w:val="00934D33"/>
    <w:rsid w:val="0099124A"/>
    <w:rsid w:val="009958E0"/>
    <w:rsid w:val="009B14F4"/>
    <w:rsid w:val="009B5A8B"/>
    <w:rsid w:val="009C53BC"/>
    <w:rsid w:val="009C7AEA"/>
    <w:rsid w:val="009D0073"/>
    <w:rsid w:val="009D3B50"/>
    <w:rsid w:val="009E6E1F"/>
    <w:rsid w:val="00A15ABD"/>
    <w:rsid w:val="00A17A9F"/>
    <w:rsid w:val="00A20E4A"/>
    <w:rsid w:val="00A40921"/>
    <w:rsid w:val="00A427A8"/>
    <w:rsid w:val="00A55A4C"/>
    <w:rsid w:val="00A6745F"/>
    <w:rsid w:val="00A7057A"/>
    <w:rsid w:val="00A76897"/>
    <w:rsid w:val="00A76A27"/>
    <w:rsid w:val="00A82DC7"/>
    <w:rsid w:val="00A86E10"/>
    <w:rsid w:val="00AA14CA"/>
    <w:rsid w:val="00AA58E4"/>
    <w:rsid w:val="00AC0B5F"/>
    <w:rsid w:val="00AC2FF5"/>
    <w:rsid w:val="00AD78A3"/>
    <w:rsid w:val="00AD79DC"/>
    <w:rsid w:val="00B106B7"/>
    <w:rsid w:val="00B53E1F"/>
    <w:rsid w:val="00B83CC5"/>
    <w:rsid w:val="00BA33E6"/>
    <w:rsid w:val="00BB7E2C"/>
    <w:rsid w:val="00BD2E3D"/>
    <w:rsid w:val="00BF7A9B"/>
    <w:rsid w:val="00C11DF8"/>
    <w:rsid w:val="00C14900"/>
    <w:rsid w:val="00C3268A"/>
    <w:rsid w:val="00C457AB"/>
    <w:rsid w:val="00C51ED9"/>
    <w:rsid w:val="00C536A2"/>
    <w:rsid w:val="00C762DC"/>
    <w:rsid w:val="00C86F5D"/>
    <w:rsid w:val="00C94834"/>
    <w:rsid w:val="00C96041"/>
    <w:rsid w:val="00CA25E7"/>
    <w:rsid w:val="00CA5A20"/>
    <w:rsid w:val="00CC2B8B"/>
    <w:rsid w:val="00CC347F"/>
    <w:rsid w:val="00CD476F"/>
    <w:rsid w:val="00CD5F92"/>
    <w:rsid w:val="00D27412"/>
    <w:rsid w:val="00D41CF9"/>
    <w:rsid w:val="00D471FD"/>
    <w:rsid w:val="00D57470"/>
    <w:rsid w:val="00D62912"/>
    <w:rsid w:val="00DA059A"/>
    <w:rsid w:val="00DB545F"/>
    <w:rsid w:val="00DC4DC3"/>
    <w:rsid w:val="00DE1BB0"/>
    <w:rsid w:val="00DE4F38"/>
    <w:rsid w:val="00DE6687"/>
    <w:rsid w:val="00DF4931"/>
    <w:rsid w:val="00DF5BF4"/>
    <w:rsid w:val="00E0279F"/>
    <w:rsid w:val="00E079CC"/>
    <w:rsid w:val="00E2012F"/>
    <w:rsid w:val="00E22080"/>
    <w:rsid w:val="00E839E7"/>
    <w:rsid w:val="00EA6B99"/>
    <w:rsid w:val="00EB6100"/>
    <w:rsid w:val="00ED199D"/>
    <w:rsid w:val="00ED24D8"/>
    <w:rsid w:val="00ED6CC4"/>
    <w:rsid w:val="00ED73BD"/>
    <w:rsid w:val="00EF0BCE"/>
    <w:rsid w:val="00F15FAC"/>
    <w:rsid w:val="00F211EA"/>
    <w:rsid w:val="00F21FA7"/>
    <w:rsid w:val="00F22416"/>
    <w:rsid w:val="00F40400"/>
    <w:rsid w:val="00F46B80"/>
    <w:rsid w:val="00F51B22"/>
    <w:rsid w:val="00F91507"/>
    <w:rsid w:val="00FD719A"/>
    <w:rsid w:val="00F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81C50C"/>
  <w15:chartTrackingRefBased/>
  <w15:docId w15:val="{839988DF-973D-4277-8C93-CD649EAF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</w:style>
  <w:style w:type="paragraph" w:styleId="berschrift1">
    <w:name w:val="heading 1"/>
    <w:basedOn w:val="Standard"/>
    <w:next w:val="Standard"/>
    <w:qFormat/>
    <w:pPr>
      <w:keepNext/>
      <w:suppressAutoHyphens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0"/>
        <w:tab w:val="left" w:pos="284"/>
      </w:tabs>
      <w:suppressAutoHyphens/>
      <w:outlineLvl w:val="1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Pr>
      <w:sz w:val="24"/>
    </w:rPr>
  </w:style>
  <w:style w:type="character" w:styleId="Endnotenzeichen">
    <w:name w:val="endnote reference"/>
    <w:semiHidden/>
    <w:rPr>
      <w:sz w:val="20"/>
      <w:vertAlign w:val="superscript"/>
    </w:rPr>
  </w:style>
  <w:style w:type="paragraph" w:styleId="Funotentext">
    <w:name w:val="footnote text"/>
    <w:basedOn w:val="Standard"/>
    <w:semiHidden/>
    <w:rPr>
      <w:sz w:val="24"/>
    </w:rPr>
  </w:style>
  <w:style w:type="character" w:styleId="Funotenzeichen">
    <w:name w:val="footnote reference"/>
    <w:semiHidden/>
    <w:rPr>
      <w:sz w:val="20"/>
      <w:vertAlign w:val="superscript"/>
    </w:rPr>
  </w:style>
  <w:style w:type="paragraph" w:styleId="Verzeichnis1">
    <w:name w:val="toc 1"/>
    <w:basedOn w:val="Standard"/>
    <w:next w:val="Standard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Verzeichnis2">
    <w:name w:val="toc 2"/>
    <w:basedOn w:val="Standard"/>
    <w:next w:val="Standard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Verzeichnis3">
    <w:name w:val="toc 3"/>
    <w:basedOn w:val="Standard"/>
    <w:next w:val="Standard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Verzeichnis4">
    <w:name w:val="toc 4"/>
    <w:basedOn w:val="Standard"/>
    <w:next w:val="Standard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Verzeichnis5">
    <w:name w:val="toc 5"/>
    <w:basedOn w:val="Standard"/>
    <w:next w:val="Standard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Verzeichnis6">
    <w:name w:val="toc 6"/>
    <w:basedOn w:val="Standard"/>
    <w:next w:val="Standard"/>
    <w:semiHidden/>
    <w:pPr>
      <w:tabs>
        <w:tab w:val="right" w:pos="9360"/>
      </w:tabs>
      <w:suppressAutoHyphens/>
      <w:ind w:left="720" w:hanging="720"/>
    </w:pPr>
  </w:style>
  <w:style w:type="paragraph" w:styleId="Verzeichnis7">
    <w:name w:val="toc 7"/>
    <w:basedOn w:val="Standard"/>
    <w:next w:val="Standard"/>
    <w:semiHidden/>
    <w:pPr>
      <w:suppressAutoHyphens/>
      <w:ind w:left="720" w:hanging="720"/>
    </w:pPr>
  </w:style>
  <w:style w:type="paragraph" w:styleId="Verzeichnis8">
    <w:name w:val="toc 8"/>
    <w:basedOn w:val="Standard"/>
    <w:next w:val="Standard"/>
    <w:semiHidden/>
    <w:pPr>
      <w:tabs>
        <w:tab w:val="right" w:pos="9360"/>
      </w:tabs>
      <w:suppressAutoHyphens/>
      <w:ind w:left="720" w:hanging="720"/>
    </w:pPr>
  </w:style>
  <w:style w:type="paragraph" w:styleId="Verzeichnis9">
    <w:name w:val="toc 9"/>
    <w:basedOn w:val="Standard"/>
    <w:next w:val="Standard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rd"/>
    <w:next w:val="Stand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rd"/>
    <w:next w:val="Stand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toa">
    <w:name w:val="toa"/>
    <w:basedOn w:val="Standard"/>
    <w:pPr>
      <w:tabs>
        <w:tab w:val="right" w:pos="9360"/>
      </w:tabs>
      <w:suppressAutoHyphens/>
    </w:pPr>
  </w:style>
  <w:style w:type="paragraph" w:styleId="Beschriftung">
    <w:name w:val="caption"/>
    <w:basedOn w:val="Standard"/>
    <w:next w:val="Standard"/>
    <w:qFormat/>
    <w:rPr>
      <w:sz w:val="24"/>
    </w:rPr>
  </w:style>
  <w:style w:type="character" w:customStyle="1" w:styleId="EquationCaption">
    <w:name w:val="_Equation Caption"/>
    <w:rPr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0"/>
        <w:tab w:val="left" w:pos="284"/>
      </w:tabs>
      <w:suppressAutoHyphens/>
    </w:pPr>
    <w:rPr>
      <w:b/>
      <w:sz w:val="16"/>
    </w:r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pPr>
      <w:suppressAutoHyphens/>
      <w:jc w:val="center"/>
    </w:pPr>
    <w:rPr>
      <w:rFonts w:ascii="Arial" w:hAnsi="Arial"/>
      <w:snapToGrid w:val="0"/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452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dejong">
    <w:name w:val="aaa_dejong"/>
    <w:basedOn w:val="Standard"/>
    <w:autoRedefine/>
    <w:rsid w:val="00E2012F"/>
    <w:pPr>
      <w:tabs>
        <w:tab w:val="left" w:pos="851"/>
      </w:tabs>
      <w:jc w:val="both"/>
    </w:pPr>
    <w:rPr>
      <w:rFonts w:ascii="Arial" w:hAnsi="Arial" w:cs="Arial"/>
      <w:sz w:val="18"/>
    </w:rPr>
  </w:style>
  <w:style w:type="paragraph" w:customStyle="1" w:styleId="aaadejongAufzStrich">
    <w:name w:val="aaa_dejong_Aufz_Strich"/>
    <w:basedOn w:val="Standard"/>
    <w:autoRedefine/>
    <w:pPr>
      <w:widowControl/>
      <w:numPr>
        <w:numId w:val="6"/>
      </w:numPr>
      <w:tabs>
        <w:tab w:val="left" w:pos="851"/>
      </w:tabs>
      <w:ind w:left="1304" w:hanging="453"/>
      <w:jc w:val="both"/>
    </w:pPr>
    <w:rPr>
      <w:rFonts w:ascii="Arial" w:hAnsi="Arial" w:cs="Arial"/>
      <w:sz w:val="18"/>
    </w:rPr>
  </w:style>
  <w:style w:type="paragraph" w:customStyle="1" w:styleId="aaadejongfett">
    <w:name w:val="aaa_dejong_fett"/>
    <w:basedOn w:val="Standard"/>
    <w:autoRedefine/>
    <w:pPr>
      <w:tabs>
        <w:tab w:val="left" w:pos="851"/>
      </w:tabs>
      <w:ind w:left="709" w:hanging="709"/>
      <w:jc w:val="both"/>
    </w:pPr>
    <w:rPr>
      <w:rFonts w:ascii="Arial" w:hAnsi="Arial" w:cs="Arial"/>
      <w:b/>
      <w:sz w:val="18"/>
    </w:rPr>
  </w:style>
  <w:style w:type="character" w:customStyle="1" w:styleId="aaadejongfettZchn">
    <w:name w:val="aaa_dejong_fett Zchn"/>
    <w:rPr>
      <w:rFonts w:ascii="Arial" w:hAnsi="Arial" w:cs="Arial"/>
      <w:b/>
      <w:noProof w:val="0"/>
      <w:sz w:val="18"/>
      <w:lang w:val="de-DE" w:eastAsia="de-DE" w:bidi="ar-SA"/>
    </w:rPr>
  </w:style>
  <w:style w:type="paragraph" w:styleId="berarbeitung">
    <w:name w:val="Revision"/>
    <w:hidden/>
    <w:uiPriority w:val="99"/>
    <w:semiHidden/>
    <w:rsid w:val="004E444B"/>
  </w:style>
  <w:style w:type="character" w:styleId="Kommentarzeichen">
    <w:name w:val="annotation reference"/>
    <w:rsid w:val="0036567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6567C"/>
  </w:style>
  <w:style w:type="character" w:customStyle="1" w:styleId="KommentartextZchn">
    <w:name w:val="Kommentartext Zchn"/>
    <w:basedOn w:val="Absatz-Standardschriftart"/>
    <w:link w:val="Kommentartext"/>
    <w:rsid w:val="0036567C"/>
  </w:style>
  <w:style w:type="paragraph" w:styleId="Kommentarthema">
    <w:name w:val="annotation subject"/>
    <w:basedOn w:val="Kommentartext"/>
    <w:next w:val="Kommentartext"/>
    <w:link w:val="KommentarthemaZchn"/>
    <w:rsid w:val="0036567C"/>
    <w:rPr>
      <w:b/>
      <w:bCs/>
    </w:rPr>
  </w:style>
  <w:style w:type="character" w:customStyle="1" w:styleId="KommentarthemaZchn">
    <w:name w:val="Kommentarthema Zchn"/>
    <w:link w:val="Kommentarthema"/>
    <w:rsid w:val="003656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C223BB96C84F4E947FDAD2FC42D1FC" ma:contentTypeVersion="20" ma:contentTypeDescription="Ein neues Dokument erstellen." ma:contentTypeScope="" ma:versionID="cd71fc374322b8bb67e28c3170daf4f6">
  <xsd:schema xmlns:xsd="http://www.w3.org/2001/XMLSchema" xmlns:xs="http://www.w3.org/2001/XMLSchema" xmlns:p="http://schemas.microsoft.com/office/2006/metadata/properties" xmlns:ns2="b5539286-5ee8-44bc-baa4-0e2ff02f6573" xmlns:ns3="7b005ea8-45a7-4705-82f0-6b1ce8aaff7b" targetNamespace="http://schemas.microsoft.com/office/2006/metadata/properties" ma:root="true" ma:fieldsID="ed058c828d98cfab149c17ef5cd61a3c" ns2:_="" ns3:_="">
    <xsd:import namespace="b5539286-5ee8-44bc-baa4-0e2ff02f6573"/>
    <xsd:import namespace="7b005ea8-45a7-4705-82f0-6b1ce8aaf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Or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39286-5ee8-44bc-baa4-0e2ff02f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2510aa0-957d-4b1b-ad12-f5c24380f8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t" ma:index="24" nillable="true" ma:displayName="Ort" ma:format="Dropdown" ma:internalName="Or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05ea8-45a7-4705-82f0-6b1ce8aaf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d73398-dc50-4b55-a3a1-aca659f7df72}" ma:internalName="TaxCatchAll" ma:showField="CatchAllData" ma:web="7b005ea8-45a7-4705-82f0-6b1ce8aaf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005ea8-45a7-4705-82f0-6b1ce8aaff7b" xsi:nil="true"/>
    <lcf76f155ced4ddcb4097134ff3c332f xmlns="b5539286-5ee8-44bc-baa4-0e2ff02f6573">
      <Terms xmlns="http://schemas.microsoft.com/office/infopath/2007/PartnerControls"/>
    </lcf76f155ced4ddcb4097134ff3c332f>
    <Ort xmlns="b5539286-5ee8-44bc-baa4-0e2ff02f6573" xsi:nil="true"/>
  </documentManagement>
</p:properties>
</file>

<file path=customXml/itemProps1.xml><?xml version="1.0" encoding="utf-8"?>
<ds:datastoreItem xmlns:ds="http://schemas.openxmlformats.org/officeDocument/2006/customXml" ds:itemID="{A90D3690-864E-4180-8CE8-EABDB29FB3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6ABD8-7178-4344-8FAC-75D751FB8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39286-5ee8-44bc-baa4-0e2ff02f6573"/>
    <ds:schemaRef ds:uri="7b005ea8-45a7-4705-82f0-6b1ce8aaf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DAE714-C216-4591-957B-071148BA10DC}">
  <ds:schemaRefs>
    <ds:schemaRef ds:uri="http://schemas.microsoft.com/office/2006/metadata/properties"/>
    <ds:schemaRef ds:uri="http://schemas.microsoft.com/office/infopath/2007/PartnerControls"/>
    <ds:schemaRef ds:uri="7b005ea8-45a7-4705-82f0-6b1ce8aaff7b"/>
    <ds:schemaRef ds:uri="b5539286-5ee8-44bc-baa4-0e2ff02f65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GDV</vt:lpstr>
    </vt:vector>
  </TitlesOfParts>
  <Company>GDV - Büro Hamburg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GDV</dc:title>
  <dc:subject/>
  <dc:creator>GDV</dc:creator>
  <cp:keywords/>
  <cp:lastModifiedBy>Julia Rudolph</cp:lastModifiedBy>
  <cp:revision>3</cp:revision>
  <cp:lastPrinted>2026-02-12T10:56:00Z</cp:lastPrinted>
  <dcterms:created xsi:type="dcterms:W3CDTF">2026-06-19T06:03:00Z</dcterms:created>
  <dcterms:modified xsi:type="dcterms:W3CDTF">2026-06-19T11:39:00Z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0x01010001C223BB96C84F4E947FDAD2FC42D1FC</vt:lpwstr>
  </property>
</Properties>
</file>