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7BB" w14:textId="0B044B28" w:rsidR="0065705C" w:rsidRDefault="00BB6AD7">
      <w:pPr>
        <w:spacing w:before="6" w:after="112"/>
        <w:ind w:left="7334" w:right="8"/>
        <w:textAlignment w:val="baseline"/>
        <w:rPr>
          <w:noProof/>
          <w:lang w:eastAsia="de-DE"/>
        </w:rPr>
      </w:pPr>
      <w:r>
        <w:rPr>
          <w:noProof/>
          <w:lang w:val="de-DE" w:eastAsia="de-DE"/>
        </w:rPr>
        <w:drawing>
          <wp:anchor distT="0" distB="0" distL="114300" distR="114300" simplePos="0" relativeHeight="251656704" behindDoc="0" locked="0" layoutInCell="0" allowOverlap="1" wp14:anchorId="3A1304BD" wp14:editId="4A42DD58">
            <wp:simplePos x="0" y="0"/>
            <wp:positionH relativeFrom="column">
              <wp:posOffset>0</wp:posOffset>
            </wp:positionH>
            <wp:positionV relativeFrom="paragraph">
              <wp:posOffset>120650</wp:posOffset>
            </wp:positionV>
            <wp:extent cx="2343150" cy="409575"/>
            <wp:effectExtent l="0" t="0" r="0" b="0"/>
            <wp:wrapNone/>
            <wp:docPr id="6" name="Grafik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Gesamtverband der Versicherer"/>
                    <pic:cNvPicPr>
                      <a:picLocks noChangeAspect="1" noChangeArrowheads="1"/>
                    </pic:cNvPicPr>
                  </pic:nvPicPr>
                  <pic:blipFill>
                    <a:blip r:embed="rId4" cstate="print">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EFB51" w14:textId="438972C2" w:rsidR="00BB6AD7" w:rsidRDefault="00BB6AD7">
      <w:pPr>
        <w:spacing w:before="6" w:after="112"/>
        <w:ind w:left="7334" w:right="8"/>
        <w:textAlignment w:val="baseline"/>
        <w:rPr>
          <w:noProof/>
          <w:lang w:eastAsia="de-DE"/>
        </w:rPr>
      </w:pPr>
    </w:p>
    <w:p w14:paraId="5BF40E4F" w14:textId="3CD5DB5E" w:rsidR="00BB6AD7" w:rsidRDefault="00BB6AD7">
      <w:pPr>
        <w:spacing w:before="6" w:after="112"/>
        <w:ind w:left="7334" w:right="8"/>
        <w:textAlignment w:val="baseline"/>
        <w:rPr>
          <w:noProof/>
          <w:lang w:eastAsia="de-DE"/>
        </w:rPr>
      </w:pPr>
    </w:p>
    <w:p w14:paraId="0B476FF4" w14:textId="77777777" w:rsidR="0065705C" w:rsidRPr="0052702E" w:rsidRDefault="0052702E">
      <w:pPr>
        <w:spacing w:line="230" w:lineRule="exact"/>
        <w:jc w:val="center"/>
        <w:textAlignment w:val="baseline"/>
        <w:rPr>
          <w:rFonts w:ascii="Arial" w:eastAsia="Arial" w:hAnsi="Arial"/>
          <w:color w:val="000000"/>
          <w:sz w:val="20"/>
        </w:rPr>
      </w:pPr>
      <w:r w:rsidRPr="0052702E">
        <w:rPr>
          <w:rFonts w:ascii="Arial" w:eastAsia="Arial" w:hAnsi="Arial"/>
          <w:color w:val="000000"/>
          <w:sz w:val="20"/>
        </w:rPr>
        <w:t>Non-binding publication of the German Insurance Association (GDV)</w:t>
      </w:r>
    </w:p>
    <w:p w14:paraId="4E9E8DE6" w14:textId="77777777" w:rsidR="0065705C" w:rsidRPr="0052702E" w:rsidRDefault="0052702E">
      <w:pPr>
        <w:spacing w:line="225" w:lineRule="exact"/>
        <w:jc w:val="center"/>
        <w:textAlignment w:val="baseline"/>
        <w:rPr>
          <w:rFonts w:ascii="Arial" w:eastAsia="Arial" w:hAnsi="Arial"/>
          <w:color w:val="000000"/>
          <w:sz w:val="20"/>
        </w:rPr>
      </w:pPr>
      <w:r w:rsidRPr="0052702E">
        <w:rPr>
          <w:rFonts w:ascii="Arial" w:eastAsia="Arial" w:hAnsi="Arial"/>
          <w:color w:val="000000"/>
          <w:sz w:val="20"/>
        </w:rPr>
        <w:t>for facultative use. Other conditions may be agreed.</w:t>
      </w:r>
    </w:p>
    <w:p w14:paraId="33B69B7A" w14:textId="77777777" w:rsidR="0065705C" w:rsidRPr="0052702E" w:rsidRDefault="0052702E">
      <w:pPr>
        <w:spacing w:before="5" w:after="4" w:line="230" w:lineRule="exact"/>
        <w:jc w:val="center"/>
        <w:textAlignment w:val="baseline"/>
        <w:rPr>
          <w:rFonts w:ascii="Arial" w:eastAsia="Arial" w:hAnsi="Arial"/>
          <w:color w:val="000000"/>
          <w:sz w:val="20"/>
        </w:rPr>
      </w:pPr>
      <w:r w:rsidRPr="0052702E">
        <w:rPr>
          <w:rFonts w:ascii="Arial" w:eastAsia="Arial" w:hAnsi="Arial"/>
          <w:color w:val="000000"/>
          <w:sz w:val="20"/>
        </w:rPr>
        <w:t>In case of deviations, only the German wording shall be binding and prevail.</w:t>
      </w:r>
    </w:p>
    <w:p w14:paraId="7F7778E0" w14:textId="77777777" w:rsidR="0065705C" w:rsidRPr="0052702E" w:rsidRDefault="003419AB">
      <w:pPr>
        <w:spacing w:before="246" w:line="279" w:lineRule="exact"/>
        <w:jc w:val="center"/>
        <w:textAlignment w:val="baseline"/>
        <w:rPr>
          <w:rFonts w:ascii="Arial" w:eastAsia="Arial" w:hAnsi="Arial"/>
          <w:b/>
          <w:color w:val="000000"/>
          <w:sz w:val="24"/>
        </w:rPr>
      </w:pPr>
      <w:r>
        <w:pict w14:anchorId="2F69FB0E">
          <v:line id="_x0000_s1027" style="position:absolute;left:0;text-align:left;z-index:251657728;mso-position-horizontal-relative:page;mso-position-vertical-relative:page" from="41.05pt,117.95pt" to="555.1pt,117.95pt" strokeweight=".7pt">
            <w10:wrap anchorx="page" anchory="page"/>
          </v:line>
        </w:pict>
      </w:r>
      <w:r w:rsidR="0052702E" w:rsidRPr="0052702E">
        <w:rPr>
          <w:rFonts w:ascii="Arial" w:eastAsia="Arial" w:hAnsi="Arial"/>
          <w:b/>
          <w:color w:val="000000"/>
          <w:sz w:val="24"/>
        </w:rPr>
        <w:t xml:space="preserve">DTV Terms &amp; Conditions of Liability Insurance for Open-Cover Policies of </w:t>
      </w:r>
      <w:r w:rsidR="0052702E" w:rsidRPr="0052702E">
        <w:rPr>
          <w:rFonts w:ascii="Arial" w:eastAsia="Arial" w:hAnsi="Arial"/>
          <w:b/>
          <w:color w:val="000000"/>
          <w:sz w:val="24"/>
        </w:rPr>
        <w:br/>
        <w:t>Carriers, Freight Forwarders and Warehouse Operators 2003/2011</w:t>
      </w:r>
    </w:p>
    <w:p w14:paraId="2565163F" w14:textId="77777777" w:rsidR="0065705C" w:rsidRPr="0052702E" w:rsidRDefault="0052702E">
      <w:pPr>
        <w:spacing w:before="237" w:line="272" w:lineRule="exact"/>
        <w:jc w:val="center"/>
        <w:textAlignment w:val="baseline"/>
        <w:rPr>
          <w:rFonts w:ascii="Arial" w:eastAsia="Arial" w:hAnsi="Arial"/>
          <w:b/>
          <w:color w:val="000000"/>
          <w:sz w:val="24"/>
        </w:rPr>
      </w:pPr>
      <w:r w:rsidRPr="0052702E">
        <w:rPr>
          <w:rFonts w:ascii="Arial" w:eastAsia="Arial" w:hAnsi="Arial"/>
          <w:b/>
          <w:color w:val="000000"/>
          <w:sz w:val="24"/>
        </w:rPr>
        <w:t>(DTV-VHV Open Policy 2003/2011)</w:t>
      </w:r>
    </w:p>
    <w:p w14:paraId="321345E1" w14:textId="77777777" w:rsidR="0065705C" w:rsidRPr="0052702E" w:rsidRDefault="0052702E">
      <w:pPr>
        <w:spacing w:before="217" w:line="308" w:lineRule="exact"/>
        <w:jc w:val="center"/>
        <w:textAlignment w:val="baseline"/>
        <w:rPr>
          <w:rFonts w:ascii="Arial" w:eastAsia="Arial" w:hAnsi="Arial"/>
          <w:color w:val="000000"/>
          <w:spacing w:val="1"/>
          <w:w w:val="60"/>
          <w:sz w:val="32"/>
        </w:rPr>
      </w:pPr>
      <w:r w:rsidRPr="0052702E">
        <w:rPr>
          <w:rFonts w:ascii="Arial" w:eastAsia="Arial" w:hAnsi="Arial"/>
          <w:color w:val="000000"/>
          <w:spacing w:val="1"/>
          <w:w w:val="60"/>
          <w:sz w:val="32"/>
        </w:rPr>
        <w:t xml:space="preserve">– </w:t>
      </w:r>
      <w:r w:rsidRPr="0052702E">
        <w:rPr>
          <w:rFonts w:ascii="Arial" w:eastAsia="Arial" w:hAnsi="Arial"/>
          <w:b/>
          <w:color w:val="000000"/>
          <w:spacing w:val="1"/>
          <w:sz w:val="24"/>
        </w:rPr>
        <w:t xml:space="preserve">Explanatory notes on Clause 7.1.5 (Last Amendment: November 2017) </w:t>
      </w:r>
      <w:r w:rsidRPr="0052702E">
        <w:rPr>
          <w:rFonts w:ascii="Arial" w:eastAsia="Arial" w:hAnsi="Arial"/>
          <w:color w:val="000000"/>
          <w:spacing w:val="1"/>
          <w:w w:val="60"/>
          <w:sz w:val="32"/>
        </w:rPr>
        <w:t>–</w:t>
      </w:r>
    </w:p>
    <w:p w14:paraId="286C9E29" w14:textId="77777777" w:rsidR="0065705C" w:rsidRPr="0052702E" w:rsidRDefault="0052702E">
      <w:pPr>
        <w:spacing w:before="211" w:line="230" w:lineRule="exact"/>
        <w:jc w:val="center"/>
        <w:textAlignment w:val="baseline"/>
        <w:rPr>
          <w:rFonts w:ascii="Arial" w:eastAsia="Arial" w:hAnsi="Arial"/>
          <w:color w:val="000000"/>
          <w:sz w:val="20"/>
        </w:rPr>
      </w:pPr>
      <w:r w:rsidRPr="0052702E">
        <w:rPr>
          <w:rFonts w:ascii="Arial" w:eastAsia="Arial" w:hAnsi="Arial"/>
          <w:color w:val="000000"/>
          <w:sz w:val="20"/>
        </w:rPr>
        <w:t>Sample terms and conditions of the GDV</w:t>
      </w:r>
    </w:p>
    <w:p w14:paraId="69FC4111" w14:textId="77777777" w:rsidR="0065705C" w:rsidRPr="0052702E" w:rsidRDefault="0052702E">
      <w:pPr>
        <w:spacing w:before="429" w:line="208" w:lineRule="exact"/>
        <w:ind w:right="72"/>
        <w:textAlignment w:val="baseline"/>
        <w:rPr>
          <w:rFonts w:ascii="Arial" w:eastAsia="Arial" w:hAnsi="Arial"/>
          <w:b/>
          <w:color w:val="000000"/>
          <w:sz w:val="18"/>
        </w:rPr>
      </w:pPr>
      <w:r w:rsidRPr="0052702E">
        <w:rPr>
          <w:rFonts w:ascii="Arial" w:eastAsia="Arial" w:hAnsi="Arial"/>
          <w:b/>
          <w:color w:val="000000"/>
          <w:sz w:val="18"/>
        </w:rPr>
        <w:t xml:space="preserve">The following notes contain sample measures for protecting and safeguarding information processing systems. It is incumbent on the Insured to decide specifically how these individual measures are to be implemented, under due con-sideration of the size of the company and the scope of IT deployment. This can equally mean, that additional measures or more expansive measures may be required </w:t>
      </w:r>
      <w:proofErr w:type="gramStart"/>
      <w:r w:rsidRPr="0052702E">
        <w:rPr>
          <w:rFonts w:ascii="Arial" w:eastAsia="Arial" w:hAnsi="Arial"/>
          <w:b/>
          <w:color w:val="000000"/>
          <w:sz w:val="18"/>
        </w:rPr>
        <w:t>in order to</w:t>
      </w:r>
      <w:proofErr w:type="gramEnd"/>
      <w:r w:rsidRPr="0052702E">
        <w:rPr>
          <w:rFonts w:ascii="Arial" w:eastAsia="Arial" w:hAnsi="Arial"/>
          <w:b/>
          <w:color w:val="000000"/>
          <w:sz w:val="18"/>
        </w:rPr>
        <w:t xml:space="preserve"> comply with the obligation under Clause 7.1.5.</w:t>
      </w:r>
    </w:p>
    <w:p w14:paraId="0D590F88" w14:textId="77777777" w:rsidR="0065705C" w:rsidRPr="0052702E" w:rsidRDefault="0052702E">
      <w:pPr>
        <w:spacing w:before="415" w:line="205" w:lineRule="exact"/>
        <w:textAlignment w:val="baseline"/>
        <w:rPr>
          <w:rFonts w:ascii="Arial" w:eastAsia="Arial" w:hAnsi="Arial"/>
          <w:b/>
          <w:i/>
          <w:color w:val="000000"/>
          <w:sz w:val="18"/>
        </w:rPr>
      </w:pPr>
      <w:r w:rsidRPr="0052702E">
        <w:rPr>
          <w:rFonts w:ascii="Arial" w:eastAsia="Arial" w:hAnsi="Arial"/>
          <w:b/>
          <w:i/>
          <w:color w:val="000000"/>
          <w:sz w:val="18"/>
        </w:rPr>
        <w:t xml:space="preserve">Protection against </w:t>
      </w:r>
      <w:proofErr w:type="spellStart"/>
      <w:r w:rsidRPr="0052702E">
        <w:rPr>
          <w:rFonts w:ascii="Arial" w:eastAsia="Arial" w:hAnsi="Arial"/>
          <w:b/>
          <w:i/>
          <w:color w:val="000000"/>
          <w:sz w:val="18"/>
        </w:rPr>
        <w:t>unauthorised</w:t>
      </w:r>
      <w:proofErr w:type="spellEnd"/>
      <w:r w:rsidRPr="0052702E">
        <w:rPr>
          <w:rFonts w:ascii="Arial" w:eastAsia="Arial" w:hAnsi="Arial"/>
          <w:b/>
          <w:i/>
          <w:color w:val="000000"/>
          <w:sz w:val="18"/>
        </w:rPr>
        <w:t xml:space="preserve"> access</w:t>
      </w:r>
    </w:p>
    <w:p w14:paraId="2CB58C87" w14:textId="77777777" w:rsidR="0065705C" w:rsidRPr="0052702E" w:rsidRDefault="0052702E">
      <w:pPr>
        <w:spacing w:before="209" w:line="208" w:lineRule="exact"/>
        <w:ind w:right="144"/>
        <w:textAlignment w:val="baseline"/>
        <w:rPr>
          <w:rFonts w:ascii="Arial" w:eastAsia="Arial" w:hAnsi="Arial"/>
          <w:color w:val="000000"/>
          <w:sz w:val="18"/>
        </w:rPr>
      </w:pPr>
      <w:r w:rsidRPr="0052702E">
        <w:rPr>
          <w:rFonts w:ascii="Arial" w:eastAsia="Arial" w:hAnsi="Arial"/>
          <w:color w:val="000000"/>
          <w:sz w:val="18"/>
        </w:rPr>
        <w:t xml:space="preserve">Information processing systems must be able to discriminate between different users and levels of authority. Therefore, </w:t>
      </w:r>
      <w:proofErr w:type="spellStart"/>
      <w:r w:rsidRPr="0052702E">
        <w:rPr>
          <w:rFonts w:ascii="Arial" w:eastAsia="Arial" w:hAnsi="Arial"/>
          <w:color w:val="000000"/>
          <w:sz w:val="18"/>
        </w:rPr>
        <w:t>individ-ual</w:t>
      </w:r>
      <w:proofErr w:type="spellEnd"/>
      <w:r w:rsidRPr="0052702E">
        <w:rPr>
          <w:rFonts w:ascii="Arial" w:eastAsia="Arial" w:hAnsi="Arial"/>
          <w:color w:val="000000"/>
          <w:sz w:val="18"/>
        </w:rPr>
        <w:t xml:space="preserve"> access rights must be defined for all users and these must be adequately secured by passwords comprising, where </w:t>
      </w:r>
      <w:proofErr w:type="spellStart"/>
      <w:r w:rsidRPr="0052702E">
        <w:rPr>
          <w:rFonts w:ascii="Arial" w:eastAsia="Arial" w:hAnsi="Arial"/>
          <w:color w:val="000000"/>
          <w:sz w:val="18"/>
        </w:rPr>
        <w:t>possi-ble</w:t>
      </w:r>
      <w:proofErr w:type="spellEnd"/>
      <w:r w:rsidRPr="0052702E">
        <w:rPr>
          <w:rFonts w:ascii="Arial" w:eastAsia="Arial" w:hAnsi="Arial"/>
          <w:color w:val="000000"/>
          <w:sz w:val="18"/>
        </w:rPr>
        <w:t>, a mixture of both upper and lower-case letters, numbers, and special characters. Administrative access rights are reserved exclusively for administrators and their respective duties.</w:t>
      </w:r>
    </w:p>
    <w:p w14:paraId="4BDCF2C1" w14:textId="77777777" w:rsidR="0065705C" w:rsidRPr="0052702E" w:rsidRDefault="0052702E">
      <w:pPr>
        <w:spacing w:before="208" w:line="206" w:lineRule="exact"/>
        <w:ind w:right="504"/>
        <w:textAlignment w:val="baseline"/>
        <w:rPr>
          <w:rFonts w:ascii="Arial" w:eastAsia="Arial" w:hAnsi="Arial"/>
          <w:color w:val="000000"/>
          <w:sz w:val="18"/>
        </w:rPr>
      </w:pPr>
      <w:r w:rsidRPr="0052702E">
        <w:rPr>
          <w:rFonts w:ascii="Arial" w:eastAsia="Arial" w:hAnsi="Arial"/>
          <w:color w:val="000000"/>
          <w:sz w:val="18"/>
        </w:rPr>
        <w:t xml:space="preserve">These rights must be furnished with </w:t>
      </w:r>
      <w:r w:rsidRPr="0052702E">
        <w:rPr>
          <w:rFonts w:ascii="Arial" w:eastAsia="Arial" w:hAnsi="Arial"/>
          <w:color w:val="000000"/>
          <w:sz w:val="18"/>
          <w:u w:val="single"/>
        </w:rPr>
        <w:t>additional</w:t>
      </w:r>
      <w:r w:rsidRPr="0052702E">
        <w:rPr>
          <w:rFonts w:ascii="Arial" w:eastAsia="Arial" w:hAnsi="Arial"/>
          <w:color w:val="000000"/>
          <w:sz w:val="18"/>
        </w:rPr>
        <w:t xml:space="preserve"> protection against </w:t>
      </w:r>
      <w:proofErr w:type="spellStart"/>
      <w:r w:rsidRPr="0052702E">
        <w:rPr>
          <w:rFonts w:ascii="Arial" w:eastAsia="Arial" w:hAnsi="Arial"/>
          <w:color w:val="000000"/>
          <w:sz w:val="18"/>
        </w:rPr>
        <w:t>unauthorised</w:t>
      </w:r>
      <w:proofErr w:type="spellEnd"/>
      <w:r w:rsidRPr="0052702E">
        <w:rPr>
          <w:rFonts w:ascii="Arial" w:eastAsia="Arial" w:hAnsi="Arial"/>
          <w:color w:val="000000"/>
          <w:sz w:val="18"/>
        </w:rPr>
        <w:t xml:space="preserve"> access whenever they are subject to an </w:t>
      </w:r>
      <w:r w:rsidRPr="0052702E">
        <w:rPr>
          <w:rFonts w:ascii="Arial" w:eastAsia="Arial" w:hAnsi="Arial"/>
          <w:color w:val="000000"/>
          <w:sz w:val="18"/>
          <w:u w:val="single"/>
        </w:rPr>
        <w:t>in-creased</w:t>
      </w:r>
      <w:r w:rsidRPr="0052702E">
        <w:rPr>
          <w:rFonts w:ascii="Arial" w:eastAsia="Arial" w:hAnsi="Arial"/>
          <w:color w:val="000000"/>
          <w:sz w:val="18"/>
        </w:rPr>
        <w:t xml:space="preserve"> risk. An increased risk can be deemed for devices that are accessible via the Internet or in mobile usage.</w:t>
      </w:r>
    </w:p>
    <w:p w14:paraId="7659BC8A" w14:textId="77777777" w:rsidR="0065705C" w:rsidRPr="0052702E" w:rsidRDefault="0052702E">
      <w:pPr>
        <w:spacing w:line="206" w:lineRule="exact"/>
        <w:ind w:right="360"/>
        <w:textAlignment w:val="baseline"/>
        <w:rPr>
          <w:rFonts w:ascii="Arial" w:eastAsia="Arial" w:hAnsi="Arial"/>
          <w:color w:val="000000"/>
          <w:sz w:val="18"/>
        </w:rPr>
      </w:pPr>
      <w:r w:rsidRPr="0052702E">
        <w:rPr>
          <w:rFonts w:ascii="Arial" w:eastAsia="Arial" w:hAnsi="Arial"/>
          <w:color w:val="000000"/>
          <w:sz w:val="18"/>
        </w:rPr>
        <w:t>Additional protective measures can include, for example: a firewall, 2-factor authentication on servers, encryption of the data carriers of mobile devices, theft protection or similar effective measures.</w:t>
      </w:r>
    </w:p>
    <w:p w14:paraId="6BA2DF95" w14:textId="77777777" w:rsidR="0065705C" w:rsidRPr="0052702E" w:rsidRDefault="0052702E">
      <w:pPr>
        <w:spacing w:before="202" w:line="211" w:lineRule="exact"/>
        <w:ind w:right="360"/>
        <w:textAlignment w:val="baseline"/>
        <w:rPr>
          <w:rFonts w:ascii="Arial" w:eastAsia="Arial" w:hAnsi="Arial"/>
          <w:color w:val="000000"/>
          <w:sz w:val="18"/>
        </w:rPr>
      </w:pPr>
      <w:r w:rsidRPr="0052702E">
        <w:rPr>
          <w:rFonts w:ascii="Arial" w:eastAsia="Arial" w:hAnsi="Arial"/>
          <w:color w:val="000000"/>
          <w:sz w:val="18"/>
        </w:rPr>
        <w:t>Anti-malware protection with automatic updates is also required (</w:t>
      </w:r>
      <w:proofErr w:type="gramStart"/>
      <w:r w:rsidRPr="0052702E">
        <w:rPr>
          <w:rFonts w:ascii="Arial" w:eastAsia="Arial" w:hAnsi="Arial"/>
          <w:color w:val="000000"/>
          <w:sz w:val="18"/>
        </w:rPr>
        <w:t>e.g.</w:t>
      </w:r>
      <w:proofErr w:type="gramEnd"/>
      <w:r w:rsidRPr="0052702E">
        <w:rPr>
          <w:rFonts w:ascii="Arial" w:eastAsia="Arial" w:hAnsi="Arial"/>
          <w:color w:val="000000"/>
          <w:sz w:val="18"/>
        </w:rPr>
        <w:t xml:space="preserve"> a virus scanner, code signing, an application firewall or similar effective measures).</w:t>
      </w:r>
    </w:p>
    <w:p w14:paraId="6268553B" w14:textId="77777777" w:rsidR="0065705C" w:rsidRPr="0052702E" w:rsidRDefault="0052702E">
      <w:pPr>
        <w:spacing w:before="410" w:line="205" w:lineRule="exact"/>
        <w:textAlignment w:val="baseline"/>
        <w:rPr>
          <w:rFonts w:ascii="Arial" w:eastAsia="Arial" w:hAnsi="Arial"/>
          <w:b/>
          <w:i/>
          <w:color w:val="000000"/>
          <w:sz w:val="18"/>
        </w:rPr>
      </w:pPr>
      <w:r w:rsidRPr="0052702E">
        <w:rPr>
          <w:rFonts w:ascii="Arial" w:eastAsia="Arial" w:hAnsi="Arial"/>
          <w:b/>
          <w:i/>
          <w:color w:val="000000"/>
          <w:sz w:val="18"/>
        </w:rPr>
        <w:t>Backing up and protecting data</w:t>
      </w:r>
    </w:p>
    <w:p w14:paraId="579AAD3F" w14:textId="77777777" w:rsidR="0065705C" w:rsidRPr="0052702E" w:rsidRDefault="0052702E">
      <w:pPr>
        <w:spacing w:before="212" w:line="206" w:lineRule="exact"/>
        <w:ind w:right="216"/>
        <w:textAlignment w:val="baseline"/>
        <w:rPr>
          <w:rFonts w:ascii="Arial" w:eastAsia="Arial" w:hAnsi="Arial"/>
          <w:color w:val="000000"/>
          <w:sz w:val="18"/>
        </w:rPr>
      </w:pPr>
      <w:r w:rsidRPr="0052702E">
        <w:rPr>
          <w:rFonts w:ascii="Arial" w:eastAsia="Arial" w:hAnsi="Arial"/>
          <w:color w:val="000000"/>
          <w:sz w:val="18"/>
        </w:rPr>
        <w:t>Systems must be subject to a patch management procedure to ensure that relevant security patches are installed promptly. Systems and applications with known security flaws must not be used unless additional security measures for protection have been implemented.</w:t>
      </w:r>
    </w:p>
    <w:p w14:paraId="63F52A8B" w14:textId="77777777" w:rsidR="0065705C" w:rsidRPr="0052702E" w:rsidRDefault="0052702E">
      <w:pPr>
        <w:spacing w:before="212" w:line="206" w:lineRule="exact"/>
        <w:ind w:right="216"/>
        <w:textAlignment w:val="baseline"/>
        <w:rPr>
          <w:rFonts w:ascii="Arial" w:eastAsia="Arial" w:hAnsi="Arial"/>
          <w:color w:val="000000"/>
          <w:sz w:val="18"/>
        </w:rPr>
      </w:pPr>
      <w:r w:rsidRPr="0052702E">
        <w:rPr>
          <w:rFonts w:ascii="Arial" w:eastAsia="Arial" w:hAnsi="Arial"/>
          <w:color w:val="000000"/>
          <w:sz w:val="18"/>
        </w:rPr>
        <w:t>Unless otherwise agreed, systems must be backed up at least once a week and the respective backup data carrier is to be physically separated to ensure that in the event of a loss or damage the original and duplicate data cannot be accessed simul-</w:t>
      </w:r>
      <w:proofErr w:type="spellStart"/>
      <w:r w:rsidRPr="0052702E">
        <w:rPr>
          <w:rFonts w:ascii="Arial" w:eastAsia="Arial" w:hAnsi="Arial"/>
          <w:color w:val="000000"/>
          <w:sz w:val="18"/>
        </w:rPr>
        <w:t>taneously</w:t>
      </w:r>
      <w:proofErr w:type="spellEnd"/>
      <w:r w:rsidRPr="0052702E">
        <w:rPr>
          <w:rFonts w:ascii="Arial" w:eastAsia="Arial" w:hAnsi="Arial"/>
          <w:color w:val="000000"/>
          <w:sz w:val="18"/>
        </w:rPr>
        <w:t xml:space="preserve"> or that these cannot be manipulated or destroyed.</w:t>
      </w:r>
    </w:p>
    <w:p w14:paraId="4F6DFC79" w14:textId="77777777" w:rsidR="0065705C" w:rsidRPr="0052702E" w:rsidRDefault="0052702E">
      <w:pPr>
        <w:spacing w:before="207" w:line="206" w:lineRule="exact"/>
        <w:ind w:right="144"/>
        <w:textAlignment w:val="baseline"/>
        <w:rPr>
          <w:rFonts w:ascii="Arial" w:eastAsia="Arial" w:hAnsi="Arial"/>
          <w:color w:val="000000"/>
          <w:spacing w:val="-1"/>
          <w:sz w:val="18"/>
        </w:rPr>
      </w:pPr>
      <w:r w:rsidRPr="0052702E">
        <w:rPr>
          <w:rFonts w:ascii="Arial" w:eastAsia="Arial" w:hAnsi="Arial"/>
          <w:color w:val="000000"/>
          <w:spacing w:val="-1"/>
          <w:sz w:val="18"/>
        </w:rPr>
        <w:t xml:space="preserve">Systems must be adequately protected against damage or malfunction by </w:t>
      </w:r>
      <w:proofErr w:type="spellStart"/>
      <w:r w:rsidRPr="0052702E">
        <w:rPr>
          <w:rFonts w:ascii="Arial" w:eastAsia="Arial" w:hAnsi="Arial"/>
          <w:color w:val="000000"/>
          <w:spacing w:val="-1"/>
          <w:sz w:val="18"/>
        </w:rPr>
        <w:t>authorised</w:t>
      </w:r>
      <w:proofErr w:type="spellEnd"/>
      <w:r w:rsidRPr="0052702E">
        <w:rPr>
          <w:rFonts w:ascii="Arial" w:eastAsia="Arial" w:hAnsi="Arial"/>
          <w:color w:val="000000"/>
          <w:spacing w:val="-1"/>
          <w:sz w:val="18"/>
        </w:rPr>
        <w:t xml:space="preserve"> users, for example by introducing policies governing the private use and deployment of data carriers and software, and by </w:t>
      </w:r>
      <w:proofErr w:type="spellStart"/>
      <w:r w:rsidRPr="0052702E">
        <w:rPr>
          <w:rFonts w:ascii="Arial" w:eastAsia="Arial" w:hAnsi="Arial"/>
          <w:color w:val="000000"/>
          <w:spacing w:val="-1"/>
          <w:sz w:val="18"/>
        </w:rPr>
        <w:t>organising</w:t>
      </w:r>
      <w:proofErr w:type="spellEnd"/>
      <w:r w:rsidRPr="0052702E">
        <w:rPr>
          <w:rFonts w:ascii="Arial" w:eastAsia="Arial" w:hAnsi="Arial"/>
          <w:color w:val="000000"/>
          <w:spacing w:val="-1"/>
          <w:sz w:val="18"/>
        </w:rPr>
        <w:t xml:space="preserve"> training courses on IT security.</w:t>
      </w:r>
    </w:p>
    <w:p w14:paraId="497B8FF7" w14:textId="77777777" w:rsidR="0065705C" w:rsidRPr="0052702E" w:rsidRDefault="0052702E">
      <w:pPr>
        <w:spacing w:before="416" w:line="205" w:lineRule="exact"/>
        <w:textAlignment w:val="baseline"/>
        <w:rPr>
          <w:rFonts w:ascii="Arial" w:eastAsia="Arial" w:hAnsi="Arial"/>
          <w:b/>
          <w:i/>
          <w:color w:val="000000"/>
          <w:sz w:val="18"/>
        </w:rPr>
      </w:pPr>
      <w:r w:rsidRPr="0052702E">
        <w:rPr>
          <w:rFonts w:ascii="Arial" w:eastAsia="Arial" w:hAnsi="Arial"/>
          <w:b/>
          <w:i/>
          <w:color w:val="000000"/>
          <w:sz w:val="18"/>
        </w:rPr>
        <w:t>Ongoing checks</w:t>
      </w:r>
    </w:p>
    <w:p w14:paraId="244EC0B0" w14:textId="77777777" w:rsidR="0065705C" w:rsidRPr="0052702E" w:rsidRDefault="0052702E">
      <w:pPr>
        <w:spacing w:before="209" w:line="207" w:lineRule="exact"/>
        <w:ind w:right="360"/>
        <w:textAlignment w:val="baseline"/>
        <w:rPr>
          <w:rFonts w:ascii="Arial" w:eastAsia="Arial" w:hAnsi="Arial"/>
          <w:color w:val="000000"/>
          <w:sz w:val="18"/>
        </w:rPr>
      </w:pPr>
      <w:r w:rsidRPr="0052702E">
        <w:rPr>
          <w:rFonts w:ascii="Arial" w:eastAsia="Arial" w:hAnsi="Arial"/>
          <w:color w:val="000000"/>
          <w:sz w:val="18"/>
        </w:rPr>
        <w:t xml:space="preserve">The Insured shall carry out checks at regular intervals to ensure that process for backing up and restoring data functions </w:t>
      </w:r>
      <w:proofErr w:type="spellStart"/>
      <w:r w:rsidRPr="0052702E">
        <w:rPr>
          <w:rFonts w:ascii="Arial" w:eastAsia="Arial" w:hAnsi="Arial"/>
          <w:color w:val="000000"/>
          <w:sz w:val="18"/>
        </w:rPr>
        <w:t>cor-rectly</w:t>
      </w:r>
      <w:proofErr w:type="spellEnd"/>
      <w:r w:rsidRPr="0052702E">
        <w:rPr>
          <w:rFonts w:ascii="Arial" w:eastAsia="Arial" w:hAnsi="Arial"/>
          <w:color w:val="000000"/>
          <w:sz w:val="18"/>
        </w:rPr>
        <w:t>.</w:t>
      </w:r>
    </w:p>
    <w:p w14:paraId="7C42DE20" w14:textId="77777777" w:rsidR="0065705C" w:rsidRPr="0052702E" w:rsidRDefault="0052702E">
      <w:pPr>
        <w:spacing w:before="415" w:line="205" w:lineRule="exact"/>
        <w:textAlignment w:val="baseline"/>
        <w:rPr>
          <w:rFonts w:ascii="Arial" w:eastAsia="Arial" w:hAnsi="Arial"/>
          <w:b/>
          <w:i/>
          <w:color w:val="000000"/>
          <w:sz w:val="18"/>
        </w:rPr>
      </w:pPr>
      <w:r w:rsidRPr="0052702E">
        <w:rPr>
          <w:rFonts w:ascii="Arial" w:eastAsia="Arial" w:hAnsi="Arial"/>
          <w:b/>
          <w:i/>
          <w:color w:val="000000"/>
          <w:sz w:val="18"/>
        </w:rPr>
        <w:t>State of the art</w:t>
      </w:r>
    </w:p>
    <w:p w14:paraId="2C5068B0" w14:textId="77777777" w:rsidR="0065705C" w:rsidRPr="0052702E" w:rsidRDefault="0052702E">
      <w:pPr>
        <w:spacing w:before="209" w:line="207" w:lineRule="exact"/>
        <w:ind w:right="216"/>
        <w:textAlignment w:val="baseline"/>
        <w:rPr>
          <w:rFonts w:ascii="Arial" w:eastAsia="Arial" w:hAnsi="Arial"/>
          <w:color w:val="000000"/>
          <w:sz w:val="18"/>
        </w:rPr>
      </w:pPr>
      <w:r w:rsidRPr="0052702E">
        <w:rPr>
          <w:rFonts w:ascii="Arial" w:eastAsia="Arial" w:hAnsi="Arial"/>
          <w:color w:val="000000"/>
          <w:sz w:val="18"/>
        </w:rPr>
        <w:t xml:space="preserve">Deployed systems must correspond to the latest technical standards, be maintained in their latest versions, and be </w:t>
      </w:r>
      <w:proofErr w:type="spellStart"/>
      <w:r w:rsidRPr="0052702E">
        <w:rPr>
          <w:rFonts w:ascii="Arial" w:eastAsia="Arial" w:hAnsi="Arial"/>
          <w:color w:val="000000"/>
          <w:sz w:val="18"/>
        </w:rPr>
        <w:t>authorised</w:t>
      </w:r>
      <w:proofErr w:type="spellEnd"/>
      <w:r w:rsidRPr="0052702E">
        <w:rPr>
          <w:rFonts w:ascii="Arial" w:eastAsia="Arial" w:hAnsi="Arial"/>
          <w:color w:val="000000"/>
          <w:sz w:val="18"/>
        </w:rPr>
        <w:t xml:space="preserve"> for commercial use.</w:t>
      </w:r>
    </w:p>
    <w:p w14:paraId="23CCF38B" w14:textId="77777777" w:rsidR="0065705C" w:rsidRPr="0052702E" w:rsidRDefault="0052702E">
      <w:pPr>
        <w:spacing w:before="209" w:after="1180" w:line="204" w:lineRule="exact"/>
        <w:textAlignment w:val="baseline"/>
        <w:rPr>
          <w:rFonts w:ascii="Arial" w:eastAsia="Arial" w:hAnsi="Arial"/>
          <w:color w:val="000000"/>
          <w:sz w:val="18"/>
        </w:rPr>
      </w:pPr>
      <w:r w:rsidRPr="0052702E">
        <w:rPr>
          <w:rFonts w:ascii="Arial" w:eastAsia="Arial" w:hAnsi="Arial"/>
          <w:color w:val="000000"/>
          <w:sz w:val="18"/>
        </w:rPr>
        <w:t>The Insured shall comply with the obligation under Clause 7.1.5 even where external providers are appointed to carry out work.</w:t>
      </w:r>
    </w:p>
    <w:p w14:paraId="08A7D98A" w14:textId="77777777" w:rsidR="0065705C" w:rsidRPr="0052702E" w:rsidRDefault="003419AB">
      <w:pPr>
        <w:tabs>
          <w:tab w:val="left" w:pos="9288"/>
          <w:tab w:val="right" w:pos="10224"/>
        </w:tabs>
        <w:spacing w:before="41" w:line="178" w:lineRule="exact"/>
        <w:textAlignment w:val="baseline"/>
        <w:rPr>
          <w:rFonts w:ascii="Arial" w:eastAsia="Arial" w:hAnsi="Arial"/>
          <w:color w:val="000000"/>
          <w:sz w:val="16"/>
        </w:rPr>
      </w:pPr>
      <w:r>
        <w:pict w14:anchorId="0FD11604">
          <v:line id="_x0000_s1026" style="position:absolute;z-index:251658752;mso-position-horizontal-relative:page;mso-position-vertical-relative:page" from="41.05pt,813.85pt" to="79.5pt,813.85pt" strokeweight=".7pt">
            <w10:wrap anchorx="page" anchory="page"/>
          </v:line>
        </w:pict>
      </w:r>
      <w:r w:rsidR="0052702E" w:rsidRPr="0052702E">
        <w:rPr>
          <w:rFonts w:ascii="Arial" w:eastAsia="Arial" w:hAnsi="Arial"/>
          <w:color w:val="000000"/>
          <w:sz w:val="16"/>
        </w:rPr>
        <w:t>DTV-VHV Open Policy 2003/2011, Explanatory Notes, November 2017</w:t>
      </w:r>
      <w:r w:rsidR="0052702E" w:rsidRPr="0052702E">
        <w:rPr>
          <w:rFonts w:ascii="Arial" w:eastAsia="Arial" w:hAnsi="Arial"/>
          <w:color w:val="000000"/>
          <w:sz w:val="16"/>
        </w:rPr>
        <w:tab/>
        <w:t>Page</w:t>
      </w:r>
      <w:r w:rsidR="0052702E" w:rsidRPr="0052702E">
        <w:rPr>
          <w:rFonts w:ascii="Arial" w:eastAsia="Arial" w:hAnsi="Arial"/>
          <w:color w:val="000000"/>
          <w:sz w:val="16"/>
        </w:rPr>
        <w:tab/>
        <w:t>1 / 1</w:t>
      </w:r>
    </w:p>
    <w:sectPr w:rsidR="0065705C" w:rsidRPr="0052702E">
      <w:pgSz w:w="11909" w:h="16843"/>
      <w:pgMar w:top="340" w:right="808" w:bottom="141"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5705C"/>
    <w:rsid w:val="003419AB"/>
    <w:rsid w:val="0052702E"/>
    <w:rsid w:val="0065705C"/>
    <w:rsid w:val="00BB6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2B6458"/>
  <w15:docId w15:val="{E7D2D618-D929-4900-A549-C3EC1A8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70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2905</Characters>
  <Application>Microsoft Office Word</Application>
  <DocSecurity>0</DocSecurity>
  <Lines>24</Lines>
  <Paragraphs>6</Paragraphs>
  <ScaleCrop>false</ScaleCrop>
  <Company>GDV</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Kupfer, Björn</cp:lastModifiedBy>
  <cp:revision>5</cp:revision>
  <dcterms:created xsi:type="dcterms:W3CDTF">2019-01-15T10:35:00Z</dcterms:created>
  <dcterms:modified xsi:type="dcterms:W3CDTF">2022-08-01T14:21:00Z</dcterms:modified>
</cp:coreProperties>
</file>