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8F20" w14:textId="77777777" w:rsidR="00B014E4" w:rsidRDefault="00B014E4" w:rsidP="00A05F94">
      <w:pPr>
        <w:pStyle w:val="Textkrper2"/>
        <w:rPr>
          <w:sz w:val="20"/>
        </w:rPr>
      </w:pPr>
    </w:p>
    <w:p w14:paraId="40DF6357" w14:textId="77777777" w:rsidR="00B014E4" w:rsidRPr="00F90277" w:rsidRDefault="00B014E4" w:rsidP="00B014E4">
      <w:pPr>
        <w:spacing w:line="280" w:lineRule="atLeast"/>
        <w:ind w:left="851" w:hanging="851"/>
        <w:jc w:val="center"/>
        <w:outlineLvl w:val="0"/>
        <w:rPr>
          <w:rFonts w:ascii="Arial" w:hAnsi="Arial"/>
          <w:b/>
          <w:sz w:val="24"/>
        </w:rPr>
      </w:pPr>
      <w:r w:rsidRPr="00F90277">
        <w:rPr>
          <w:rFonts w:ascii="Arial" w:hAnsi="Arial"/>
          <w:b/>
          <w:sz w:val="24"/>
        </w:rPr>
        <w:t>DTV-Verkehrshaftungsversicherungs-Bedingungen für die laufende Versicherung</w:t>
      </w:r>
    </w:p>
    <w:p w14:paraId="54F2DA98" w14:textId="77777777" w:rsidR="00B014E4" w:rsidRPr="00F90277" w:rsidRDefault="00B014E4" w:rsidP="00B014E4">
      <w:pPr>
        <w:spacing w:line="280" w:lineRule="atLeast"/>
        <w:ind w:left="851" w:hanging="851"/>
        <w:jc w:val="center"/>
        <w:outlineLvl w:val="0"/>
        <w:rPr>
          <w:rFonts w:ascii="Arial" w:hAnsi="Arial"/>
          <w:b/>
          <w:sz w:val="24"/>
        </w:rPr>
      </w:pPr>
      <w:r w:rsidRPr="00F90277">
        <w:rPr>
          <w:rFonts w:ascii="Arial" w:hAnsi="Arial"/>
          <w:b/>
          <w:sz w:val="24"/>
        </w:rPr>
        <w:t>für Frachtführer</w:t>
      </w:r>
      <w:r w:rsidRPr="00F90277">
        <w:rPr>
          <w:rFonts w:ascii="Arial" w:hAnsi="Arial"/>
          <w:b/>
          <w:sz w:val="24"/>
          <w:szCs w:val="24"/>
        </w:rPr>
        <w:t>, Spediteure</w:t>
      </w:r>
      <w:r w:rsidRPr="00F90277">
        <w:rPr>
          <w:rFonts w:ascii="Arial" w:hAnsi="Arial"/>
          <w:b/>
          <w:sz w:val="24"/>
        </w:rPr>
        <w:t xml:space="preserve"> und Lagerhalter 2003</w:t>
      </w:r>
      <w:r>
        <w:rPr>
          <w:rFonts w:ascii="Arial" w:hAnsi="Arial"/>
          <w:b/>
          <w:sz w:val="24"/>
        </w:rPr>
        <w:t>/</w:t>
      </w:r>
      <w:r w:rsidRPr="00F90277">
        <w:rPr>
          <w:rFonts w:ascii="Arial" w:hAnsi="Arial"/>
          <w:b/>
          <w:sz w:val="24"/>
        </w:rPr>
        <w:t>20</w:t>
      </w:r>
      <w:r w:rsidR="001709F9">
        <w:rPr>
          <w:rFonts w:ascii="Arial" w:hAnsi="Arial"/>
          <w:b/>
          <w:sz w:val="24"/>
        </w:rPr>
        <w:t>11</w:t>
      </w:r>
    </w:p>
    <w:p w14:paraId="03B8D8D5" w14:textId="77777777" w:rsidR="00B014E4" w:rsidRPr="00F90277" w:rsidRDefault="00B014E4" w:rsidP="00B014E4">
      <w:pPr>
        <w:ind w:left="851" w:hanging="851"/>
        <w:jc w:val="center"/>
        <w:outlineLvl w:val="0"/>
        <w:rPr>
          <w:rFonts w:ascii="Arial" w:hAnsi="Arial"/>
        </w:rPr>
      </w:pPr>
    </w:p>
    <w:p w14:paraId="65630E29" w14:textId="77777777" w:rsidR="00B014E4" w:rsidRPr="00DE7F50" w:rsidRDefault="00B014E4" w:rsidP="00B014E4">
      <w:pPr>
        <w:ind w:left="851" w:hanging="851"/>
        <w:jc w:val="center"/>
        <w:outlineLvl w:val="0"/>
        <w:rPr>
          <w:rFonts w:ascii="Arial" w:hAnsi="Arial"/>
          <w:b/>
          <w:sz w:val="24"/>
          <w:szCs w:val="24"/>
        </w:rPr>
      </w:pPr>
      <w:r w:rsidRPr="00DE7F50">
        <w:rPr>
          <w:rFonts w:ascii="Arial" w:hAnsi="Arial"/>
          <w:b/>
          <w:sz w:val="24"/>
          <w:szCs w:val="24"/>
        </w:rPr>
        <w:t xml:space="preserve">(DTV-VHV </w:t>
      </w:r>
      <w:r w:rsidR="003B6C6F">
        <w:rPr>
          <w:rFonts w:ascii="Arial" w:hAnsi="Arial"/>
          <w:b/>
          <w:sz w:val="24"/>
          <w:szCs w:val="24"/>
        </w:rPr>
        <w:t xml:space="preserve">laufende Versicherung </w:t>
      </w:r>
      <w:r w:rsidRPr="00DE7F50">
        <w:rPr>
          <w:rFonts w:ascii="Arial" w:hAnsi="Arial"/>
          <w:b/>
          <w:sz w:val="24"/>
          <w:szCs w:val="24"/>
        </w:rPr>
        <w:t>2003/20</w:t>
      </w:r>
      <w:r w:rsidR="001709F9">
        <w:rPr>
          <w:rFonts w:ascii="Arial" w:hAnsi="Arial"/>
          <w:b/>
          <w:sz w:val="24"/>
          <w:szCs w:val="24"/>
        </w:rPr>
        <w:t>11</w:t>
      </w:r>
      <w:r w:rsidRPr="00DE7F50">
        <w:rPr>
          <w:rFonts w:ascii="Arial" w:hAnsi="Arial"/>
          <w:b/>
          <w:sz w:val="24"/>
          <w:szCs w:val="24"/>
        </w:rPr>
        <w:t>)</w:t>
      </w:r>
    </w:p>
    <w:p w14:paraId="2423303C" w14:textId="77777777" w:rsidR="00B014E4" w:rsidRDefault="00B014E4" w:rsidP="00B014E4">
      <w:pPr>
        <w:ind w:left="851" w:hanging="851"/>
        <w:jc w:val="center"/>
        <w:rPr>
          <w:rFonts w:ascii="Arial" w:hAnsi="Arial"/>
        </w:rPr>
      </w:pPr>
    </w:p>
    <w:p w14:paraId="74FE3281" w14:textId="77777777" w:rsidR="00BA4E49" w:rsidRPr="00BA4E49" w:rsidRDefault="00BA4E49" w:rsidP="00B014E4">
      <w:pPr>
        <w:ind w:left="851" w:hanging="851"/>
        <w:jc w:val="center"/>
        <w:rPr>
          <w:rFonts w:ascii="Arial" w:hAnsi="Arial"/>
          <w:b/>
          <w:sz w:val="24"/>
          <w:szCs w:val="24"/>
        </w:rPr>
      </w:pPr>
      <w:r w:rsidRPr="00BA4E49">
        <w:rPr>
          <w:rFonts w:ascii="Arial" w:hAnsi="Arial"/>
          <w:b/>
          <w:sz w:val="24"/>
          <w:szCs w:val="24"/>
        </w:rPr>
        <w:t>- Erläuterung</w:t>
      </w:r>
      <w:r w:rsidR="0048478E">
        <w:rPr>
          <w:rFonts w:ascii="Arial" w:hAnsi="Arial"/>
          <w:b/>
          <w:sz w:val="24"/>
          <w:szCs w:val="24"/>
        </w:rPr>
        <w:t>en</w:t>
      </w:r>
      <w:r w:rsidRPr="00BA4E49">
        <w:rPr>
          <w:rFonts w:ascii="Arial" w:hAnsi="Arial"/>
          <w:b/>
          <w:sz w:val="24"/>
          <w:szCs w:val="24"/>
        </w:rPr>
        <w:t xml:space="preserve"> zu Ziff. 7.1</w:t>
      </w:r>
      <w:r w:rsidR="001E3BA0">
        <w:rPr>
          <w:rFonts w:ascii="Arial" w:hAnsi="Arial"/>
          <w:b/>
          <w:sz w:val="24"/>
          <w:szCs w:val="24"/>
        </w:rPr>
        <w:t>.</w:t>
      </w:r>
      <w:r w:rsidR="0062472C">
        <w:rPr>
          <w:rFonts w:ascii="Arial" w:hAnsi="Arial"/>
          <w:b/>
          <w:sz w:val="24"/>
          <w:szCs w:val="24"/>
        </w:rPr>
        <w:t>5</w:t>
      </w:r>
      <w:r w:rsidRPr="00BA4E49">
        <w:rPr>
          <w:rFonts w:ascii="Arial" w:hAnsi="Arial"/>
          <w:b/>
          <w:sz w:val="24"/>
          <w:szCs w:val="24"/>
        </w:rPr>
        <w:t xml:space="preserve"> </w:t>
      </w:r>
      <w:r w:rsidR="006F067B">
        <w:rPr>
          <w:rFonts w:ascii="Arial" w:hAnsi="Arial"/>
          <w:b/>
          <w:sz w:val="24"/>
          <w:szCs w:val="24"/>
        </w:rPr>
        <w:t xml:space="preserve">(Stand: </w:t>
      </w:r>
      <w:r w:rsidR="001B06D2">
        <w:rPr>
          <w:rFonts w:ascii="Arial" w:hAnsi="Arial"/>
          <w:b/>
          <w:sz w:val="24"/>
          <w:szCs w:val="24"/>
        </w:rPr>
        <w:t>November</w:t>
      </w:r>
      <w:r w:rsidR="006F067B">
        <w:rPr>
          <w:rFonts w:ascii="Arial" w:hAnsi="Arial"/>
          <w:b/>
          <w:sz w:val="24"/>
          <w:szCs w:val="24"/>
        </w:rPr>
        <w:t xml:space="preserve"> 2017)</w:t>
      </w:r>
      <w:r w:rsidR="00192F97">
        <w:rPr>
          <w:rFonts w:ascii="Arial" w:hAnsi="Arial"/>
          <w:b/>
          <w:sz w:val="24"/>
          <w:szCs w:val="24"/>
        </w:rPr>
        <w:t xml:space="preserve"> </w:t>
      </w:r>
      <w:r w:rsidRPr="00BA4E49">
        <w:rPr>
          <w:rFonts w:ascii="Arial" w:hAnsi="Arial"/>
          <w:b/>
          <w:sz w:val="24"/>
          <w:szCs w:val="24"/>
        </w:rPr>
        <w:t>-</w:t>
      </w:r>
    </w:p>
    <w:p w14:paraId="56E46E5B" w14:textId="77777777" w:rsidR="00B014E4" w:rsidRPr="00F90277" w:rsidRDefault="00B014E4" w:rsidP="00B014E4">
      <w:pPr>
        <w:ind w:left="851" w:hanging="851"/>
        <w:jc w:val="center"/>
        <w:rPr>
          <w:rFonts w:ascii="Arial" w:hAnsi="Arial"/>
        </w:rPr>
      </w:pPr>
    </w:p>
    <w:p w14:paraId="146A7DB1" w14:textId="77777777" w:rsidR="00B014E4" w:rsidRPr="00F90277" w:rsidRDefault="00B014E4" w:rsidP="00B014E4">
      <w:pPr>
        <w:jc w:val="center"/>
        <w:rPr>
          <w:rFonts w:ascii="Arial" w:hAnsi="Arial"/>
        </w:rPr>
      </w:pPr>
      <w:r w:rsidRPr="00F90277">
        <w:rPr>
          <w:rFonts w:ascii="Arial" w:hAnsi="Arial"/>
        </w:rPr>
        <w:t>Musterbedingungen des GDV</w:t>
      </w:r>
    </w:p>
    <w:p w14:paraId="5464A09A" w14:textId="77777777" w:rsidR="00B014E4" w:rsidRPr="00F90277" w:rsidRDefault="00B014E4" w:rsidP="00B014E4">
      <w:pPr>
        <w:ind w:left="992" w:hanging="992"/>
        <w:jc w:val="center"/>
        <w:rPr>
          <w:rFonts w:ascii="Arial" w:hAnsi="Arial"/>
        </w:rPr>
      </w:pPr>
    </w:p>
    <w:p w14:paraId="337221B7" w14:textId="77777777" w:rsidR="00B014E4" w:rsidRDefault="00B014E4" w:rsidP="00D52733">
      <w:pPr>
        <w:tabs>
          <w:tab w:val="left" w:pos="652"/>
        </w:tabs>
        <w:ind w:left="851" w:right="-1" w:hanging="851"/>
        <w:jc w:val="both"/>
        <w:rPr>
          <w:rFonts w:ascii="Arial" w:hAnsi="Arial" w:cs="Arial"/>
          <w:b/>
          <w:sz w:val="18"/>
        </w:rPr>
      </w:pPr>
    </w:p>
    <w:p w14:paraId="3C84474B" w14:textId="77777777" w:rsidR="002D7716" w:rsidRPr="00F90277" w:rsidRDefault="002D7716" w:rsidP="00D52733">
      <w:pPr>
        <w:tabs>
          <w:tab w:val="left" w:pos="652"/>
        </w:tabs>
        <w:ind w:left="851" w:right="-1" w:hanging="851"/>
        <w:jc w:val="both"/>
        <w:rPr>
          <w:rFonts w:ascii="Arial" w:hAnsi="Arial" w:cs="Arial"/>
          <w:b/>
          <w:sz w:val="18"/>
        </w:rPr>
        <w:sectPr w:rsidR="002D7716" w:rsidRPr="00F90277" w:rsidSect="00B014E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39AFCB9B" w14:textId="77777777" w:rsidR="006F067B" w:rsidRDefault="006F067B" w:rsidP="00BA4E49">
      <w:pPr>
        <w:widowControl/>
        <w:rPr>
          <w:rFonts w:ascii="Arial" w:eastAsia="Calibri" w:hAnsi="Arial" w:cs="Arial"/>
          <w:b/>
          <w:sz w:val="18"/>
          <w:szCs w:val="18"/>
          <w:lang w:eastAsia="en-US"/>
        </w:rPr>
      </w:pPr>
      <w:r w:rsidRPr="006F067B">
        <w:rPr>
          <w:rFonts w:ascii="Arial" w:eastAsia="Calibri" w:hAnsi="Arial" w:cs="Arial"/>
          <w:b/>
          <w:sz w:val="18"/>
          <w:szCs w:val="18"/>
          <w:lang w:eastAsia="en-US"/>
        </w:rPr>
        <w:t xml:space="preserve">Die nachfolgenden Erläuterungen stellen </w:t>
      </w:r>
      <w:r w:rsidR="004E3946">
        <w:rPr>
          <w:rFonts w:ascii="Arial" w:eastAsia="Calibri" w:hAnsi="Arial" w:cs="Arial"/>
          <w:b/>
          <w:sz w:val="18"/>
          <w:szCs w:val="18"/>
          <w:lang w:eastAsia="en-US"/>
        </w:rPr>
        <w:t xml:space="preserve">beispielhaft </w:t>
      </w:r>
      <w:r w:rsidRPr="006F067B">
        <w:rPr>
          <w:rFonts w:ascii="Arial" w:eastAsia="Calibri" w:hAnsi="Arial" w:cs="Arial"/>
          <w:b/>
          <w:sz w:val="18"/>
          <w:szCs w:val="18"/>
          <w:lang w:eastAsia="en-US"/>
        </w:rPr>
        <w:t>Maßnahmen zu Schutz und Sicherung informationsverarbeitender Syste</w:t>
      </w:r>
      <w:r w:rsidR="004E3946">
        <w:rPr>
          <w:rFonts w:ascii="Arial" w:eastAsia="Calibri" w:hAnsi="Arial" w:cs="Arial"/>
          <w:b/>
          <w:sz w:val="18"/>
          <w:szCs w:val="18"/>
          <w:lang w:eastAsia="en-US"/>
        </w:rPr>
        <w:t xml:space="preserve">me dar. </w:t>
      </w:r>
      <w:r w:rsidRPr="006F067B">
        <w:rPr>
          <w:rFonts w:ascii="Arial" w:eastAsia="Calibri" w:hAnsi="Arial" w:cs="Arial"/>
          <w:b/>
          <w:sz w:val="18"/>
          <w:szCs w:val="18"/>
          <w:lang w:eastAsia="en-US"/>
        </w:rPr>
        <w:t xml:space="preserve">Die konkrete Ausgestaltung der einzelnen Maßnahmen </w:t>
      </w:r>
      <w:r w:rsidR="004E3946">
        <w:rPr>
          <w:rFonts w:ascii="Arial" w:eastAsia="Calibri" w:hAnsi="Arial" w:cs="Arial"/>
          <w:b/>
          <w:sz w:val="18"/>
          <w:szCs w:val="18"/>
          <w:lang w:eastAsia="en-US"/>
        </w:rPr>
        <w:t xml:space="preserve">obliegt dem Versicherungsnehmer und </w:t>
      </w:r>
      <w:r w:rsidRPr="006F067B">
        <w:rPr>
          <w:rFonts w:ascii="Arial" w:eastAsia="Calibri" w:hAnsi="Arial" w:cs="Arial"/>
          <w:b/>
          <w:sz w:val="18"/>
          <w:szCs w:val="18"/>
          <w:lang w:eastAsia="en-US"/>
        </w:rPr>
        <w:t xml:space="preserve">sollte unter Berücksichtigung der Größe des </w:t>
      </w:r>
      <w:r w:rsidR="0048478E">
        <w:rPr>
          <w:rFonts w:ascii="Arial" w:eastAsia="Calibri" w:hAnsi="Arial" w:cs="Arial"/>
          <w:b/>
          <w:sz w:val="18"/>
          <w:szCs w:val="18"/>
          <w:lang w:eastAsia="en-US"/>
        </w:rPr>
        <w:t>Betriebes und des</w:t>
      </w:r>
      <w:r w:rsidRPr="006F067B">
        <w:rPr>
          <w:rFonts w:ascii="Arial" w:eastAsia="Calibri" w:hAnsi="Arial" w:cs="Arial"/>
          <w:b/>
          <w:sz w:val="18"/>
          <w:szCs w:val="18"/>
          <w:lang w:eastAsia="en-US"/>
        </w:rPr>
        <w:t xml:space="preserve"> Umfang</w:t>
      </w:r>
      <w:r w:rsidR="0048478E">
        <w:rPr>
          <w:rFonts w:ascii="Arial" w:eastAsia="Calibri" w:hAnsi="Arial" w:cs="Arial"/>
          <w:b/>
          <w:sz w:val="18"/>
          <w:szCs w:val="18"/>
          <w:lang w:eastAsia="en-US"/>
        </w:rPr>
        <w:t>s</w:t>
      </w:r>
      <w:r w:rsidRPr="006F067B">
        <w:rPr>
          <w:rFonts w:ascii="Arial" w:eastAsia="Calibri" w:hAnsi="Arial" w:cs="Arial"/>
          <w:b/>
          <w:sz w:val="18"/>
          <w:szCs w:val="18"/>
          <w:lang w:eastAsia="en-US"/>
        </w:rPr>
        <w:t xml:space="preserve"> der IT-Nutzung erfolgen.</w:t>
      </w:r>
      <w:r w:rsidR="004E3946">
        <w:rPr>
          <w:rFonts w:ascii="Arial" w:eastAsia="Calibri" w:hAnsi="Arial" w:cs="Arial"/>
          <w:b/>
          <w:sz w:val="18"/>
          <w:szCs w:val="18"/>
          <w:lang w:eastAsia="en-US"/>
        </w:rPr>
        <w:t xml:space="preserve"> Das bedeutet, dass auch andere</w:t>
      </w:r>
      <w:r w:rsidR="00D3045A">
        <w:rPr>
          <w:rFonts w:ascii="Arial" w:eastAsia="Calibri" w:hAnsi="Arial" w:cs="Arial"/>
          <w:b/>
          <w:sz w:val="18"/>
          <w:szCs w:val="18"/>
          <w:lang w:eastAsia="en-US"/>
        </w:rPr>
        <w:t xml:space="preserve"> oder weiterreichende</w:t>
      </w:r>
      <w:r w:rsidR="004E3946">
        <w:rPr>
          <w:rFonts w:ascii="Arial" w:eastAsia="Calibri" w:hAnsi="Arial" w:cs="Arial"/>
          <w:b/>
          <w:sz w:val="18"/>
          <w:szCs w:val="18"/>
          <w:lang w:eastAsia="en-US"/>
        </w:rPr>
        <w:t xml:space="preserve"> Maßnahmen erforderlich s</w:t>
      </w:r>
      <w:r w:rsidR="00D3045A">
        <w:rPr>
          <w:rFonts w:ascii="Arial" w:eastAsia="Calibri" w:hAnsi="Arial" w:cs="Arial"/>
          <w:b/>
          <w:sz w:val="18"/>
          <w:szCs w:val="18"/>
          <w:lang w:eastAsia="en-US"/>
        </w:rPr>
        <w:t>ein können, um der gemäß Ziff. 7.1</w:t>
      </w:r>
      <w:r w:rsidR="001E3BA0">
        <w:rPr>
          <w:rFonts w:ascii="Arial" w:eastAsia="Calibri" w:hAnsi="Arial" w:cs="Arial"/>
          <w:b/>
          <w:sz w:val="18"/>
          <w:szCs w:val="18"/>
          <w:lang w:eastAsia="en-US"/>
        </w:rPr>
        <w:t>.</w:t>
      </w:r>
      <w:r w:rsidR="0062472C">
        <w:rPr>
          <w:rFonts w:ascii="Arial" w:eastAsia="Calibri" w:hAnsi="Arial" w:cs="Arial"/>
          <w:b/>
          <w:sz w:val="18"/>
          <w:szCs w:val="18"/>
          <w:lang w:eastAsia="en-US"/>
        </w:rPr>
        <w:t>5</w:t>
      </w:r>
      <w:r w:rsidR="00D3045A">
        <w:rPr>
          <w:rFonts w:ascii="Arial" w:eastAsia="Calibri" w:hAnsi="Arial" w:cs="Arial"/>
          <w:b/>
          <w:sz w:val="18"/>
          <w:szCs w:val="18"/>
          <w:lang w:eastAsia="en-US"/>
        </w:rPr>
        <w:t xml:space="preserve"> vereinbarten Obliegenheit zu entsprechen.</w:t>
      </w:r>
    </w:p>
    <w:p w14:paraId="2822DE77" w14:textId="77777777" w:rsidR="006F067B" w:rsidRPr="006F067B" w:rsidRDefault="006F067B" w:rsidP="00BA4E49">
      <w:pPr>
        <w:widowControl/>
        <w:rPr>
          <w:rFonts w:ascii="Arial" w:eastAsia="Calibri" w:hAnsi="Arial" w:cs="Arial"/>
          <w:b/>
          <w:sz w:val="18"/>
          <w:szCs w:val="18"/>
          <w:lang w:eastAsia="en-US"/>
        </w:rPr>
      </w:pPr>
    </w:p>
    <w:p w14:paraId="5CBD36F2" w14:textId="77777777" w:rsidR="006F067B" w:rsidRDefault="006F067B" w:rsidP="00BA4E49">
      <w:pPr>
        <w:widowControl/>
        <w:rPr>
          <w:rFonts w:ascii="Arial" w:eastAsia="Calibri" w:hAnsi="Arial" w:cs="Arial"/>
          <w:b/>
          <w:i/>
          <w:sz w:val="18"/>
          <w:szCs w:val="18"/>
          <w:lang w:eastAsia="en-US"/>
        </w:rPr>
      </w:pPr>
    </w:p>
    <w:p w14:paraId="61F1D933" w14:textId="77777777" w:rsidR="00BA4E49" w:rsidRPr="006718A9" w:rsidRDefault="00BA4E49" w:rsidP="00BA4E49">
      <w:pPr>
        <w:widowControl/>
        <w:rPr>
          <w:rFonts w:ascii="Arial" w:eastAsia="Calibri" w:hAnsi="Arial" w:cs="Arial"/>
          <w:b/>
          <w:sz w:val="18"/>
          <w:szCs w:val="18"/>
          <w:lang w:eastAsia="en-US"/>
        </w:rPr>
      </w:pPr>
      <w:r w:rsidRPr="006718A9">
        <w:rPr>
          <w:rFonts w:ascii="Arial" w:eastAsia="Calibri" w:hAnsi="Arial" w:cs="Arial"/>
          <w:b/>
          <w:i/>
          <w:sz w:val="18"/>
          <w:szCs w:val="18"/>
          <w:lang w:eastAsia="en-US"/>
        </w:rPr>
        <w:t>Schutz vor unberechtigten Zugriffen</w:t>
      </w:r>
    </w:p>
    <w:p w14:paraId="162659F7" w14:textId="77777777" w:rsidR="00BA4E49" w:rsidRPr="00BA4E49" w:rsidRDefault="00BA4E49" w:rsidP="00BA4E49">
      <w:pPr>
        <w:widowControl/>
        <w:rPr>
          <w:rFonts w:ascii="Arial" w:eastAsia="Calibri" w:hAnsi="Arial" w:cs="Arial"/>
          <w:sz w:val="18"/>
          <w:szCs w:val="18"/>
          <w:lang w:eastAsia="en-US"/>
        </w:rPr>
      </w:pPr>
    </w:p>
    <w:p w14:paraId="58560370"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 xml:space="preserve">Die informationsverarbeitenden Systeme sollen einzelne Nutzer und </w:t>
      </w:r>
      <w:proofErr w:type="spellStart"/>
      <w:r w:rsidRPr="00BA4E49">
        <w:rPr>
          <w:rFonts w:ascii="Arial" w:eastAsia="Calibri" w:hAnsi="Arial" w:cs="Arial"/>
          <w:sz w:val="18"/>
          <w:szCs w:val="18"/>
          <w:lang w:eastAsia="en-US"/>
        </w:rPr>
        <w:t>Befugnisebenen</w:t>
      </w:r>
      <w:proofErr w:type="spellEnd"/>
      <w:r w:rsidRPr="00BA4E49">
        <w:rPr>
          <w:rFonts w:ascii="Arial" w:eastAsia="Calibri" w:hAnsi="Arial" w:cs="Arial"/>
          <w:sz w:val="18"/>
          <w:szCs w:val="18"/>
          <w:lang w:eastAsia="en-US"/>
        </w:rPr>
        <w:t xml:space="preserve"> unterscheiden. Hierzu sind individuelle Zugänge für alle Nutzer erforderlich, die mit Passwörtern </w:t>
      </w:r>
      <w:r w:rsidR="00D70A75">
        <w:rPr>
          <w:rFonts w:ascii="Arial" w:eastAsia="Calibri" w:hAnsi="Arial" w:cs="Arial"/>
          <w:sz w:val="18"/>
          <w:szCs w:val="18"/>
          <w:lang w:eastAsia="en-US"/>
        </w:rPr>
        <w:t xml:space="preserve">angemessen </w:t>
      </w:r>
      <w:r w:rsidR="008D1471">
        <w:rPr>
          <w:rFonts w:ascii="Arial" w:eastAsia="Calibri" w:hAnsi="Arial" w:cs="Arial"/>
          <w:sz w:val="18"/>
          <w:szCs w:val="18"/>
          <w:lang w:eastAsia="en-US"/>
        </w:rPr>
        <w:t xml:space="preserve">gesichert werden, </w:t>
      </w:r>
      <w:r w:rsidR="008D1471" w:rsidRPr="008D1471">
        <w:rPr>
          <w:rFonts w:ascii="Arial" w:eastAsia="Calibri" w:hAnsi="Arial" w:cs="Arial"/>
          <w:sz w:val="18"/>
          <w:szCs w:val="18"/>
          <w:lang w:eastAsia="en-US"/>
        </w:rPr>
        <w:t>die möglichst aus einer Zeichenkombination aus Buchstaben, Zahlen und Sonderzeichen unter Verwendung von Groß- und Kleinschreibung bestehen sollten.</w:t>
      </w:r>
      <w:r w:rsidRPr="00BA4E49">
        <w:rPr>
          <w:rFonts w:ascii="Arial" w:eastAsia="Calibri" w:hAnsi="Arial" w:cs="Arial"/>
          <w:sz w:val="18"/>
          <w:szCs w:val="18"/>
          <w:lang w:eastAsia="en-US"/>
        </w:rPr>
        <w:t xml:space="preserve"> Administrative Zugänge sind ausschließlich Administratoren und ausschließlich zur Erledigung administrativer Tätigkeiten vorbehalten.</w:t>
      </w:r>
    </w:p>
    <w:p w14:paraId="76CECE0E" w14:textId="77777777" w:rsidR="00BA4E49" w:rsidRPr="00BA4E49" w:rsidRDefault="00BA4E49" w:rsidP="00BA4E49">
      <w:pPr>
        <w:widowControl/>
        <w:rPr>
          <w:rFonts w:ascii="Arial" w:eastAsia="Calibri" w:hAnsi="Arial" w:cs="Arial"/>
          <w:sz w:val="18"/>
          <w:szCs w:val="18"/>
          <w:lang w:eastAsia="en-US"/>
        </w:rPr>
      </w:pPr>
    </w:p>
    <w:p w14:paraId="76C3DE47"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 xml:space="preserve">Sie sollen darüber hinaus mit einem </w:t>
      </w:r>
      <w:r w:rsidRPr="00BA4E49">
        <w:rPr>
          <w:rFonts w:ascii="Arial" w:eastAsia="Calibri" w:hAnsi="Arial" w:cs="Arial"/>
          <w:sz w:val="18"/>
          <w:szCs w:val="18"/>
          <w:u w:val="single"/>
          <w:lang w:eastAsia="en-US"/>
        </w:rPr>
        <w:t>zusätzlichen</w:t>
      </w:r>
      <w:r w:rsidRPr="00BA4E49">
        <w:rPr>
          <w:rFonts w:ascii="Arial" w:eastAsia="Calibri" w:hAnsi="Arial" w:cs="Arial"/>
          <w:sz w:val="18"/>
          <w:szCs w:val="18"/>
          <w:lang w:eastAsia="en-US"/>
        </w:rPr>
        <w:t xml:space="preserve"> Schutz gegen unberechtigten Zugriff ausgerüstet sein, wenn sie einem </w:t>
      </w:r>
      <w:r w:rsidRPr="00BA4E49">
        <w:rPr>
          <w:rFonts w:ascii="Arial" w:eastAsia="Calibri" w:hAnsi="Arial" w:cs="Arial"/>
          <w:sz w:val="18"/>
          <w:szCs w:val="18"/>
          <w:u w:val="single"/>
          <w:lang w:eastAsia="en-US"/>
        </w:rPr>
        <w:t>erhöhten</w:t>
      </w:r>
      <w:r w:rsidRPr="00BA4E49">
        <w:rPr>
          <w:rFonts w:ascii="Arial" w:eastAsia="Calibri" w:hAnsi="Arial" w:cs="Arial"/>
          <w:sz w:val="18"/>
          <w:szCs w:val="18"/>
          <w:lang w:eastAsia="en-US"/>
        </w:rPr>
        <w:t xml:space="preserve"> Risiko ausgesetzt sind. Ein erhöhtes Risiko besteht bei Geräten, die über das Internet erreichbar oder im mobilen Einsatz sind. </w:t>
      </w:r>
    </w:p>
    <w:p w14:paraId="533338E9"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Zusätzliche Schutzmaßnahmen können z. B. sein: Firewall, 2-Faktor-Authentifizierung bei Servern, Verschlüsselung von Datenträgern mobiler Geräte, Diebstahlsicherung oder ähnlich wirksame Maßnahmen.</w:t>
      </w:r>
    </w:p>
    <w:p w14:paraId="6F1B2ADE" w14:textId="77777777" w:rsidR="00BA4E49" w:rsidRPr="00BA4E49" w:rsidRDefault="00BA4E49" w:rsidP="00BA4E49">
      <w:pPr>
        <w:widowControl/>
        <w:tabs>
          <w:tab w:val="left" w:pos="2610"/>
        </w:tabs>
        <w:rPr>
          <w:rFonts w:ascii="Arial" w:eastAsia="Calibri" w:hAnsi="Arial" w:cs="Arial"/>
          <w:sz w:val="18"/>
          <w:szCs w:val="18"/>
          <w:lang w:eastAsia="en-US"/>
        </w:rPr>
      </w:pPr>
      <w:r>
        <w:rPr>
          <w:rFonts w:ascii="Arial" w:eastAsia="Calibri" w:hAnsi="Arial" w:cs="Arial"/>
          <w:sz w:val="18"/>
          <w:szCs w:val="18"/>
          <w:lang w:eastAsia="en-US"/>
        </w:rPr>
        <w:tab/>
      </w:r>
    </w:p>
    <w:p w14:paraId="004879E4" w14:textId="77777777" w:rsidR="00BA4E49" w:rsidRPr="00BA4E49" w:rsidRDefault="006718A9" w:rsidP="00BA4E49">
      <w:pPr>
        <w:widowControl/>
        <w:rPr>
          <w:rFonts w:ascii="Arial" w:eastAsia="Calibri" w:hAnsi="Arial" w:cs="Arial"/>
          <w:sz w:val="18"/>
          <w:szCs w:val="18"/>
          <w:lang w:eastAsia="en-US"/>
        </w:rPr>
      </w:pPr>
      <w:r>
        <w:rPr>
          <w:rFonts w:ascii="Arial" w:eastAsia="Calibri" w:hAnsi="Arial" w:cs="Arial"/>
          <w:sz w:val="18"/>
          <w:szCs w:val="18"/>
          <w:lang w:eastAsia="en-US"/>
        </w:rPr>
        <w:t>Es ist ein</w:t>
      </w:r>
      <w:r w:rsidR="00BA4E49" w:rsidRPr="00BA4E49">
        <w:rPr>
          <w:rFonts w:ascii="Arial" w:eastAsia="Calibri" w:hAnsi="Arial" w:cs="Arial"/>
          <w:sz w:val="18"/>
          <w:szCs w:val="18"/>
          <w:lang w:eastAsia="en-US"/>
        </w:rPr>
        <w:t xml:space="preserve"> Schutz gegen Schadsoftware </w:t>
      </w:r>
      <w:r>
        <w:rPr>
          <w:rFonts w:ascii="Arial" w:eastAsia="Calibri" w:hAnsi="Arial" w:cs="Arial"/>
          <w:sz w:val="18"/>
          <w:szCs w:val="18"/>
          <w:lang w:eastAsia="en-US"/>
        </w:rPr>
        <w:t>erforderlich</w:t>
      </w:r>
      <w:r w:rsidR="00BA4E49" w:rsidRPr="00BA4E49">
        <w:rPr>
          <w:rFonts w:ascii="Arial" w:eastAsia="Calibri" w:hAnsi="Arial" w:cs="Arial"/>
          <w:sz w:val="18"/>
          <w:szCs w:val="18"/>
          <w:lang w:eastAsia="en-US"/>
        </w:rPr>
        <w:t xml:space="preserve">, </w:t>
      </w:r>
      <w:r w:rsidR="00BA4E49" w:rsidRPr="00D3045A">
        <w:rPr>
          <w:rFonts w:ascii="Arial" w:eastAsia="Calibri" w:hAnsi="Arial" w:cs="Arial"/>
          <w:sz w:val="18"/>
          <w:szCs w:val="18"/>
          <w:lang w:eastAsia="en-US"/>
        </w:rPr>
        <w:t>der automatisch</w:t>
      </w:r>
      <w:r w:rsidR="00BA4E49" w:rsidRPr="00BA4E49">
        <w:rPr>
          <w:rFonts w:ascii="Arial" w:eastAsia="Calibri" w:hAnsi="Arial" w:cs="Arial"/>
          <w:sz w:val="18"/>
          <w:szCs w:val="18"/>
          <w:lang w:eastAsia="en-US"/>
        </w:rPr>
        <w:t xml:space="preserve"> auf dem aktuellen Stand gehalten wird (z.B. Virenscanner, Code </w:t>
      </w:r>
      <w:proofErr w:type="spellStart"/>
      <w:r w:rsidR="00BA4E49" w:rsidRPr="00BA4E49">
        <w:rPr>
          <w:rFonts w:ascii="Arial" w:eastAsia="Calibri" w:hAnsi="Arial" w:cs="Arial"/>
          <w:sz w:val="18"/>
          <w:szCs w:val="18"/>
          <w:lang w:eastAsia="en-US"/>
        </w:rPr>
        <w:t>Signing</w:t>
      </w:r>
      <w:proofErr w:type="spellEnd"/>
      <w:r w:rsidR="00BA4E49" w:rsidRPr="00BA4E49">
        <w:rPr>
          <w:rFonts w:ascii="Arial" w:eastAsia="Calibri" w:hAnsi="Arial" w:cs="Arial"/>
          <w:sz w:val="18"/>
          <w:szCs w:val="18"/>
          <w:lang w:eastAsia="en-US"/>
        </w:rPr>
        <w:t xml:space="preserve">, </w:t>
      </w:r>
      <w:proofErr w:type="spellStart"/>
      <w:r w:rsidR="00BA4E49" w:rsidRPr="00BA4E49">
        <w:rPr>
          <w:rFonts w:ascii="Arial" w:eastAsia="Calibri" w:hAnsi="Arial" w:cs="Arial"/>
          <w:sz w:val="18"/>
          <w:szCs w:val="18"/>
          <w:lang w:eastAsia="en-US"/>
        </w:rPr>
        <w:t>Application</w:t>
      </w:r>
      <w:proofErr w:type="spellEnd"/>
      <w:r w:rsidR="00BA4E49" w:rsidRPr="00BA4E49">
        <w:rPr>
          <w:rFonts w:ascii="Arial" w:eastAsia="Calibri" w:hAnsi="Arial" w:cs="Arial"/>
          <w:sz w:val="18"/>
          <w:szCs w:val="18"/>
          <w:lang w:eastAsia="en-US"/>
        </w:rPr>
        <w:t xml:space="preserve"> Firewall oder ähnlich wirksame Maßnahmen</w:t>
      </w:r>
    </w:p>
    <w:p w14:paraId="7778E163" w14:textId="77777777" w:rsidR="00BA4E49" w:rsidRPr="00BA4E49" w:rsidRDefault="00BA4E49" w:rsidP="00BA4E49">
      <w:pPr>
        <w:widowControl/>
        <w:rPr>
          <w:rFonts w:ascii="Arial" w:eastAsia="Calibri" w:hAnsi="Arial" w:cs="Arial"/>
          <w:sz w:val="18"/>
          <w:szCs w:val="18"/>
          <w:lang w:eastAsia="en-US"/>
        </w:rPr>
      </w:pPr>
    </w:p>
    <w:p w14:paraId="736B90B1" w14:textId="77777777" w:rsidR="00BA4E49" w:rsidRPr="00BA4E49" w:rsidRDefault="00BA4E49" w:rsidP="00BA4E49">
      <w:pPr>
        <w:widowControl/>
        <w:rPr>
          <w:rFonts w:ascii="Arial" w:eastAsia="Calibri" w:hAnsi="Arial" w:cs="Arial"/>
          <w:sz w:val="18"/>
          <w:szCs w:val="18"/>
          <w:lang w:eastAsia="en-US"/>
        </w:rPr>
      </w:pPr>
    </w:p>
    <w:p w14:paraId="009ADCF3" w14:textId="77777777" w:rsidR="00BA4E49" w:rsidRPr="006718A9" w:rsidRDefault="00BA4E49" w:rsidP="00BA4E49">
      <w:pPr>
        <w:widowControl/>
        <w:rPr>
          <w:rFonts w:ascii="Arial" w:eastAsia="Calibri" w:hAnsi="Arial" w:cs="Arial"/>
          <w:b/>
          <w:i/>
          <w:sz w:val="18"/>
          <w:szCs w:val="18"/>
          <w:lang w:eastAsia="en-US"/>
        </w:rPr>
      </w:pPr>
      <w:r w:rsidRPr="006718A9">
        <w:rPr>
          <w:rFonts w:ascii="Arial" w:eastAsia="Calibri" w:hAnsi="Arial" w:cs="Arial"/>
          <w:b/>
          <w:i/>
          <w:sz w:val="18"/>
          <w:szCs w:val="18"/>
          <w:lang w:eastAsia="en-US"/>
        </w:rPr>
        <w:t>Sicherung und Schutz der Daten</w:t>
      </w:r>
    </w:p>
    <w:p w14:paraId="501B197D" w14:textId="77777777" w:rsidR="00BA4E49" w:rsidRPr="00BA4E49" w:rsidRDefault="00BA4E49" w:rsidP="00BA4E49">
      <w:pPr>
        <w:widowControl/>
        <w:rPr>
          <w:rFonts w:ascii="Arial" w:eastAsia="Calibri" w:hAnsi="Arial" w:cs="Arial"/>
          <w:i/>
          <w:sz w:val="18"/>
          <w:szCs w:val="18"/>
          <w:lang w:eastAsia="en-US"/>
        </w:rPr>
      </w:pPr>
    </w:p>
    <w:p w14:paraId="3AADA7A1" w14:textId="77777777" w:rsidR="00BA4E49" w:rsidRPr="00BA4E49" w:rsidRDefault="006718A9" w:rsidP="00BA4E49">
      <w:pPr>
        <w:widowControl/>
        <w:rPr>
          <w:rFonts w:ascii="Arial" w:eastAsia="Calibri" w:hAnsi="Arial" w:cs="Arial"/>
          <w:sz w:val="18"/>
          <w:szCs w:val="18"/>
          <w:lang w:eastAsia="en-US"/>
        </w:rPr>
      </w:pPr>
      <w:r>
        <w:rPr>
          <w:rFonts w:ascii="Arial" w:eastAsia="Calibri" w:hAnsi="Arial" w:cs="Arial"/>
          <w:sz w:val="18"/>
          <w:szCs w:val="18"/>
          <w:lang w:eastAsia="en-US"/>
        </w:rPr>
        <w:t>Die Systeme soll</w:t>
      </w:r>
      <w:r w:rsidR="00BA4E49" w:rsidRPr="00BA4E49">
        <w:rPr>
          <w:rFonts w:ascii="Arial" w:eastAsia="Calibri" w:hAnsi="Arial" w:cs="Arial"/>
          <w:sz w:val="18"/>
          <w:szCs w:val="18"/>
          <w:lang w:eastAsia="en-US"/>
        </w:rPr>
        <w:t>en einem Patch-Management-Verfahren unterliegen, das eine zeitnahe Installation von relevanten Sicherheitspatches sicherstellt. Systeme und Anwendungen mit bekannten Sicherheitslücken dürfen nicht ohne zusätzliche Maßnahmen zur Absicherung eingesetzt werden</w:t>
      </w:r>
    </w:p>
    <w:p w14:paraId="33049AEA" w14:textId="77777777" w:rsidR="00BA4E49" w:rsidRPr="00BA4E49" w:rsidRDefault="00BA4E49" w:rsidP="00BA4E49">
      <w:pPr>
        <w:widowControl/>
        <w:rPr>
          <w:rFonts w:ascii="Arial" w:eastAsia="Calibri" w:hAnsi="Arial" w:cs="Arial"/>
          <w:sz w:val="18"/>
          <w:szCs w:val="18"/>
          <w:lang w:eastAsia="en-US"/>
        </w:rPr>
      </w:pPr>
    </w:p>
    <w:p w14:paraId="52B7CB2A"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Soweit nic</w:t>
      </w:r>
      <w:r w:rsidR="006718A9">
        <w:rPr>
          <w:rFonts w:ascii="Arial" w:eastAsia="Calibri" w:hAnsi="Arial" w:cs="Arial"/>
          <w:sz w:val="18"/>
          <w:szCs w:val="18"/>
          <w:lang w:eastAsia="en-US"/>
        </w:rPr>
        <w:t>hts anders vereinbart ist, soll</w:t>
      </w:r>
      <w:r w:rsidRPr="00BA4E49">
        <w:rPr>
          <w:rFonts w:ascii="Arial" w:eastAsia="Calibri" w:hAnsi="Arial" w:cs="Arial"/>
          <w:sz w:val="18"/>
          <w:szCs w:val="18"/>
          <w:lang w:eastAsia="en-US"/>
        </w:rPr>
        <w:t>en die Systeme einem mindestens wöchentlichen Sicherungsprozess unterliegen, wobei die Sicherungsdatenträger physisch getrennt aufbewahrt werden, um sicher zu stellen, dass im Versicherungsfall auf Originale und Duplikate nicht</w:t>
      </w:r>
      <w:r w:rsidR="006718A9">
        <w:rPr>
          <w:rFonts w:ascii="Arial" w:eastAsia="Calibri" w:hAnsi="Arial" w:cs="Arial"/>
          <w:sz w:val="18"/>
          <w:szCs w:val="18"/>
          <w:lang w:eastAsia="en-US"/>
        </w:rPr>
        <w:t xml:space="preserve"> gleichzeitig zugegriffen oder diese manipuliert</w:t>
      </w:r>
      <w:r w:rsidRPr="00BA4E49">
        <w:rPr>
          <w:rFonts w:ascii="Arial" w:eastAsia="Calibri" w:hAnsi="Arial" w:cs="Arial"/>
          <w:sz w:val="18"/>
          <w:szCs w:val="18"/>
          <w:lang w:eastAsia="en-US"/>
        </w:rPr>
        <w:t xml:space="preserve"> oder zerstört werden können.</w:t>
      </w:r>
    </w:p>
    <w:p w14:paraId="6FF9E106" w14:textId="77777777" w:rsidR="00BA4E49" w:rsidRPr="00BA4E49" w:rsidRDefault="00BA4E49" w:rsidP="00BA4E49">
      <w:pPr>
        <w:widowControl/>
        <w:rPr>
          <w:rFonts w:ascii="Arial" w:eastAsia="Calibri" w:hAnsi="Arial" w:cs="Arial"/>
          <w:sz w:val="18"/>
          <w:szCs w:val="18"/>
          <w:lang w:eastAsia="en-US"/>
        </w:rPr>
      </w:pPr>
    </w:p>
    <w:p w14:paraId="603A8A0E"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Die Systeme sind ausreichend vor Beschädigung oder Störung durch berechtigte Nutzer zu schützen, zum Beispiel durch Regelungen zur privaten Nutzung und zum Gebrauch von Datenträgern und Software sowie Schulungen zur IT-Sicherheit.</w:t>
      </w:r>
    </w:p>
    <w:p w14:paraId="40CF2410" w14:textId="77777777" w:rsidR="00BA4E49" w:rsidRDefault="00BA4E49" w:rsidP="00BA4E49">
      <w:pPr>
        <w:widowControl/>
        <w:rPr>
          <w:rFonts w:ascii="Arial" w:eastAsia="Calibri" w:hAnsi="Arial" w:cs="Arial"/>
          <w:sz w:val="18"/>
          <w:szCs w:val="18"/>
          <w:lang w:eastAsia="en-US"/>
        </w:rPr>
      </w:pPr>
    </w:p>
    <w:p w14:paraId="65A73FA5" w14:textId="77777777" w:rsidR="00BA4E49" w:rsidRPr="00BA4E49" w:rsidRDefault="00BA4E49" w:rsidP="00BA4E49">
      <w:pPr>
        <w:widowControl/>
        <w:rPr>
          <w:rFonts w:ascii="Arial" w:eastAsia="Calibri" w:hAnsi="Arial" w:cs="Arial"/>
          <w:sz w:val="18"/>
          <w:szCs w:val="18"/>
          <w:lang w:eastAsia="en-US"/>
        </w:rPr>
      </w:pPr>
    </w:p>
    <w:p w14:paraId="5C4181DE" w14:textId="77777777" w:rsidR="00BA4E49" w:rsidRPr="006718A9" w:rsidRDefault="00BA4E49" w:rsidP="00BA4E49">
      <w:pPr>
        <w:widowControl/>
        <w:rPr>
          <w:rFonts w:ascii="Arial" w:eastAsia="Calibri" w:hAnsi="Arial" w:cs="Arial"/>
          <w:b/>
          <w:i/>
          <w:sz w:val="18"/>
          <w:szCs w:val="18"/>
          <w:lang w:eastAsia="en-US"/>
        </w:rPr>
      </w:pPr>
      <w:r w:rsidRPr="006718A9">
        <w:rPr>
          <w:rFonts w:ascii="Arial" w:eastAsia="Calibri" w:hAnsi="Arial" w:cs="Arial"/>
          <w:b/>
          <w:i/>
          <w:sz w:val="18"/>
          <w:szCs w:val="18"/>
          <w:lang w:eastAsia="en-US"/>
        </w:rPr>
        <w:t>Laufende Kontrolle</w:t>
      </w:r>
    </w:p>
    <w:p w14:paraId="58201530" w14:textId="77777777" w:rsidR="00BA4E49" w:rsidRPr="00BA4E49" w:rsidRDefault="00BA4E49" w:rsidP="00BA4E49">
      <w:pPr>
        <w:widowControl/>
        <w:ind w:left="709"/>
        <w:rPr>
          <w:rFonts w:ascii="Arial" w:eastAsia="Calibri" w:hAnsi="Arial" w:cs="Arial"/>
          <w:sz w:val="18"/>
          <w:szCs w:val="18"/>
          <w:lang w:eastAsia="en-US"/>
        </w:rPr>
      </w:pPr>
    </w:p>
    <w:p w14:paraId="61D9AFB9" w14:textId="77777777" w:rsidR="00BA4E49" w:rsidRPr="00BA4E49" w:rsidRDefault="00BA4E49" w:rsidP="00BA4E49">
      <w:pPr>
        <w:widowControl/>
        <w:rPr>
          <w:rFonts w:ascii="Arial" w:eastAsia="Calibri" w:hAnsi="Arial" w:cs="Arial"/>
          <w:sz w:val="18"/>
          <w:szCs w:val="18"/>
          <w:lang w:eastAsia="en-US"/>
        </w:rPr>
      </w:pPr>
      <w:r w:rsidRPr="00BA4E49">
        <w:rPr>
          <w:rFonts w:ascii="Arial" w:eastAsia="Calibri" w:hAnsi="Arial" w:cs="Arial"/>
          <w:sz w:val="18"/>
          <w:szCs w:val="18"/>
          <w:lang w:eastAsia="en-US"/>
        </w:rPr>
        <w:t>Der Versicherungsnehmer hat eine ordnungsgemäße Funktion des Sicherungs- und Wiederherstellungsprozesses durch regelmäßige Prüfung nach einem festgelegten Turnus sicherzustellen.</w:t>
      </w:r>
    </w:p>
    <w:p w14:paraId="77372B83" w14:textId="77777777" w:rsidR="00BA4E49" w:rsidRDefault="00BA4E49" w:rsidP="00BA4E49">
      <w:pPr>
        <w:widowControl/>
        <w:rPr>
          <w:rFonts w:ascii="Arial" w:eastAsia="Calibri" w:hAnsi="Arial" w:cs="Arial"/>
          <w:sz w:val="18"/>
          <w:szCs w:val="18"/>
          <w:lang w:eastAsia="en-US"/>
        </w:rPr>
      </w:pPr>
    </w:p>
    <w:p w14:paraId="1A8D4298" w14:textId="77777777" w:rsidR="00BA4E49" w:rsidRPr="00BA4E49" w:rsidRDefault="00BA4E49" w:rsidP="00BA4E49">
      <w:pPr>
        <w:widowControl/>
        <w:rPr>
          <w:rFonts w:ascii="Arial" w:eastAsia="Calibri" w:hAnsi="Arial" w:cs="Arial"/>
          <w:sz w:val="18"/>
          <w:szCs w:val="18"/>
          <w:lang w:eastAsia="en-US"/>
        </w:rPr>
      </w:pPr>
    </w:p>
    <w:p w14:paraId="38407A64" w14:textId="77777777" w:rsidR="00BA4E49" w:rsidRPr="006718A9" w:rsidRDefault="00BA4E49" w:rsidP="00BA4E49">
      <w:pPr>
        <w:widowControl/>
        <w:rPr>
          <w:rFonts w:ascii="Arial" w:eastAsia="Calibri" w:hAnsi="Arial" w:cs="Arial"/>
          <w:b/>
          <w:sz w:val="18"/>
          <w:szCs w:val="18"/>
          <w:lang w:eastAsia="en-US"/>
        </w:rPr>
      </w:pPr>
      <w:r w:rsidRPr="006718A9">
        <w:rPr>
          <w:rFonts w:ascii="Arial" w:eastAsia="Calibri" w:hAnsi="Arial" w:cs="Arial"/>
          <w:b/>
          <w:i/>
          <w:sz w:val="18"/>
          <w:szCs w:val="18"/>
          <w:lang w:eastAsia="en-US"/>
        </w:rPr>
        <w:t xml:space="preserve">aktueller Stand der Technik </w:t>
      </w:r>
    </w:p>
    <w:p w14:paraId="1CA41882" w14:textId="77777777" w:rsidR="00BA4E49" w:rsidRPr="00BA4E49" w:rsidRDefault="00BA4E49" w:rsidP="00BA4E49">
      <w:pPr>
        <w:widowControl/>
        <w:rPr>
          <w:rFonts w:ascii="Arial" w:eastAsia="Calibri" w:hAnsi="Arial" w:cs="Arial"/>
          <w:sz w:val="18"/>
          <w:szCs w:val="18"/>
          <w:lang w:eastAsia="en-US"/>
        </w:rPr>
      </w:pPr>
    </w:p>
    <w:p w14:paraId="5E4D0652" w14:textId="77777777" w:rsidR="00BA4E49" w:rsidRPr="00BA4E49" w:rsidRDefault="006718A9" w:rsidP="00BA4E49">
      <w:pPr>
        <w:widowControl/>
        <w:rPr>
          <w:rFonts w:ascii="Arial" w:eastAsia="Calibri" w:hAnsi="Arial" w:cs="Arial"/>
          <w:sz w:val="18"/>
          <w:szCs w:val="18"/>
          <w:lang w:eastAsia="en-US"/>
        </w:rPr>
      </w:pPr>
      <w:r>
        <w:rPr>
          <w:rFonts w:ascii="Arial" w:eastAsia="Calibri" w:hAnsi="Arial" w:cs="Arial"/>
          <w:sz w:val="18"/>
          <w:szCs w:val="18"/>
          <w:lang w:eastAsia="en-US"/>
        </w:rPr>
        <w:t>Di</w:t>
      </w:r>
      <w:r w:rsidR="00BA4E49" w:rsidRPr="00BA4E49">
        <w:rPr>
          <w:rFonts w:ascii="Arial" w:eastAsia="Calibri" w:hAnsi="Arial" w:cs="Arial"/>
          <w:sz w:val="18"/>
          <w:szCs w:val="18"/>
          <w:lang w:eastAsia="en-US"/>
        </w:rPr>
        <w:t>e eingesetzte</w:t>
      </w:r>
      <w:r>
        <w:rPr>
          <w:rFonts w:ascii="Arial" w:eastAsia="Calibri" w:hAnsi="Arial" w:cs="Arial"/>
          <w:sz w:val="18"/>
          <w:szCs w:val="18"/>
          <w:lang w:eastAsia="en-US"/>
        </w:rPr>
        <w:t>n</w:t>
      </w:r>
      <w:r w:rsidR="00BA4E49" w:rsidRPr="00BA4E49">
        <w:rPr>
          <w:rFonts w:ascii="Arial" w:eastAsia="Calibri" w:hAnsi="Arial" w:cs="Arial"/>
          <w:sz w:val="18"/>
          <w:szCs w:val="18"/>
          <w:lang w:eastAsia="en-US"/>
        </w:rPr>
        <w:t xml:space="preserve"> Systeme </w:t>
      </w:r>
      <w:r>
        <w:rPr>
          <w:rFonts w:ascii="Arial" w:eastAsia="Calibri" w:hAnsi="Arial" w:cs="Arial"/>
          <w:sz w:val="18"/>
          <w:szCs w:val="18"/>
          <w:lang w:eastAsia="en-US"/>
        </w:rPr>
        <w:t xml:space="preserve">müssen </w:t>
      </w:r>
      <w:r w:rsidR="00BA4E49" w:rsidRPr="00BA4E49">
        <w:rPr>
          <w:rFonts w:ascii="Arial" w:eastAsia="Calibri" w:hAnsi="Arial" w:cs="Arial"/>
          <w:sz w:val="18"/>
          <w:szCs w:val="18"/>
          <w:lang w:eastAsia="en-US"/>
        </w:rPr>
        <w:t>dem aktuellen Stand der Technik</w:t>
      </w:r>
      <w:r>
        <w:rPr>
          <w:rFonts w:ascii="Arial" w:eastAsia="Calibri" w:hAnsi="Arial" w:cs="Arial"/>
          <w:sz w:val="18"/>
          <w:szCs w:val="18"/>
          <w:lang w:eastAsia="en-US"/>
        </w:rPr>
        <w:t xml:space="preserve"> </w:t>
      </w:r>
      <w:r w:rsidR="00BA4E49" w:rsidRPr="00BA4E49">
        <w:rPr>
          <w:rFonts w:ascii="Arial" w:eastAsia="Calibri" w:hAnsi="Arial" w:cs="Arial"/>
          <w:sz w:val="18"/>
          <w:szCs w:val="18"/>
          <w:lang w:eastAsia="en-US"/>
        </w:rPr>
        <w:t>entsprechen</w:t>
      </w:r>
      <w:r>
        <w:rPr>
          <w:rFonts w:ascii="Arial" w:eastAsia="Calibri" w:hAnsi="Arial" w:cs="Arial"/>
          <w:sz w:val="18"/>
          <w:szCs w:val="18"/>
          <w:lang w:eastAsia="en-US"/>
        </w:rPr>
        <w:t>,</w:t>
      </w:r>
      <w:r w:rsidR="00BA4E49" w:rsidRPr="00BA4E49">
        <w:rPr>
          <w:rFonts w:ascii="Arial" w:eastAsia="Calibri" w:hAnsi="Arial" w:cs="Arial"/>
          <w:sz w:val="18"/>
          <w:szCs w:val="18"/>
          <w:lang w:eastAsia="en-US"/>
        </w:rPr>
        <w:t xml:space="preserve"> in der aktu</w:t>
      </w:r>
      <w:r>
        <w:rPr>
          <w:rFonts w:ascii="Arial" w:eastAsia="Calibri" w:hAnsi="Arial" w:cs="Arial"/>
          <w:sz w:val="18"/>
          <w:szCs w:val="18"/>
          <w:lang w:eastAsia="en-US"/>
        </w:rPr>
        <w:t>ell</w:t>
      </w:r>
      <w:r w:rsidR="00BA4E49" w:rsidRPr="00BA4E49">
        <w:rPr>
          <w:rFonts w:ascii="Arial" w:eastAsia="Calibri" w:hAnsi="Arial" w:cs="Arial"/>
          <w:sz w:val="18"/>
          <w:szCs w:val="18"/>
          <w:lang w:eastAsia="en-US"/>
        </w:rPr>
        <w:t xml:space="preserve">en Version vorgehalten werden und für eine gewerbliche Nutzung zugelassen </w:t>
      </w:r>
      <w:r>
        <w:rPr>
          <w:rFonts w:ascii="Arial" w:eastAsia="Calibri" w:hAnsi="Arial" w:cs="Arial"/>
          <w:sz w:val="18"/>
          <w:szCs w:val="18"/>
          <w:lang w:eastAsia="en-US"/>
        </w:rPr>
        <w:t>sein</w:t>
      </w:r>
      <w:r w:rsidR="00BA4E49" w:rsidRPr="00BA4E49">
        <w:rPr>
          <w:rFonts w:ascii="Arial" w:eastAsia="Calibri" w:hAnsi="Arial" w:cs="Arial"/>
          <w:sz w:val="18"/>
          <w:szCs w:val="18"/>
          <w:lang w:eastAsia="en-US"/>
        </w:rPr>
        <w:t>.</w:t>
      </w:r>
    </w:p>
    <w:p w14:paraId="4BF8627D" w14:textId="77777777" w:rsidR="00BA4E49" w:rsidRDefault="00BA4E49" w:rsidP="00BA4E49">
      <w:pPr>
        <w:widowControl/>
        <w:rPr>
          <w:rFonts w:ascii="Arial" w:eastAsia="Calibri" w:hAnsi="Arial" w:cs="Arial"/>
          <w:sz w:val="18"/>
          <w:szCs w:val="18"/>
          <w:lang w:eastAsia="en-US"/>
        </w:rPr>
      </w:pPr>
    </w:p>
    <w:p w14:paraId="12E72211" w14:textId="77777777" w:rsidR="00BA4E49" w:rsidRPr="00BA4E49" w:rsidRDefault="00BA4E49" w:rsidP="00BA4E49">
      <w:pPr>
        <w:widowControl/>
        <w:rPr>
          <w:rFonts w:ascii="Arial" w:eastAsia="Calibri" w:hAnsi="Arial" w:cs="Arial"/>
          <w:sz w:val="18"/>
          <w:szCs w:val="18"/>
          <w:lang w:eastAsia="en-US"/>
        </w:rPr>
      </w:pPr>
    </w:p>
    <w:p w14:paraId="481292AF" w14:textId="77777777" w:rsidR="005621EE" w:rsidRPr="00621C9D" w:rsidRDefault="00BA4E49" w:rsidP="00621C9D">
      <w:pPr>
        <w:widowControl/>
        <w:rPr>
          <w:rFonts w:ascii="Arial" w:eastAsia="Calibri" w:hAnsi="Arial" w:cs="Arial"/>
          <w:sz w:val="18"/>
          <w:szCs w:val="18"/>
          <w:lang w:eastAsia="en-US"/>
        </w:rPr>
      </w:pPr>
      <w:r w:rsidRPr="00BA4E49">
        <w:rPr>
          <w:rFonts w:ascii="Arial" w:eastAsia="Calibri" w:hAnsi="Arial" w:cs="Arial"/>
          <w:sz w:val="18"/>
          <w:szCs w:val="18"/>
          <w:lang w:eastAsia="en-US"/>
        </w:rPr>
        <w:t>Der Versicherungsnehmer hat die</w:t>
      </w:r>
      <w:r w:rsidR="006718A9">
        <w:rPr>
          <w:rFonts w:ascii="Arial" w:eastAsia="Calibri" w:hAnsi="Arial" w:cs="Arial"/>
          <w:sz w:val="18"/>
          <w:szCs w:val="18"/>
          <w:lang w:eastAsia="en-US"/>
        </w:rPr>
        <w:t xml:space="preserve"> in Ziff. 7.1.</w:t>
      </w:r>
      <w:r w:rsidR="0062472C">
        <w:rPr>
          <w:rFonts w:ascii="Arial" w:eastAsia="Calibri" w:hAnsi="Arial" w:cs="Arial"/>
          <w:sz w:val="18"/>
          <w:szCs w:val="18"/>
          <w:lang w:eastAsia="en-US"/>
        </w:rPr>
        <w:t>5</w:t>
      </w:r>
      <w:r w:rsidRPr="00BA4E49">
        <w:rPr>
          <w:rFonts w:ascii="Arial" w:eastAsia="Calibri" w:hAnsi="Arial" w:cs="Arial"/>
          <w:sz w:val="18"/>
          <w:szCs w:val="18"/>
          <w:lang w:eastAsia="en-US"/>
        </w:rPr>
        <w:t xml:space="preserve"> </w:t>
      </w:r>
      <w:r w:rsidR="00071DB6">
        <w:rPr>
          <w:rFonts w:ascii="Arial" w:eastAsia="Calibri" w:hAnsi="Arial" w:cs="Arial"/>
          <w:sz w:val="18"/>
          <w:szCs w:val="18"/>
          <w:lang w:eastAsia="en-US"/>
        </w:rPr>
        <w:t>genannte</w:t>
      </w:r>
      <w:r w:rsidR="00DB31CC">
        <w:rPr>
          <w:rFonts w:ascii="Arial" w:eastAsia="Calibri" w:hAnsi="Arial" w:cs="Arial"/>
          <w:sz w:val="18"/>
          <w:szCs w:val="18"/>
          <w:lang w:eastAsia="en-US"/>
        </w:rPr>
        <w:t xml:space="preserve"> </w:t>
      </w:r>
      <w:r w:rsidRPr="00BA4E49">
        <w:rPr>
          <w:rFonts w:ascii="Arial" w:eastAsia="Calibri" w:hAnsi="Arial" w:cs="Arial"/>
          <w:sz w:val="18"/>
          <w:szCs w:val="18"/>
          <w:lang w:eastAsia="en-US"/>
        </w:rPr>
        <w:t>Obliegenheit auch im Falle einer Beauftragung externer Dienstleister zu beachten.</w:t>
      </w:r>
    </w:p>
    <w:sectPr w:rsidR="005621EE" w:rsidRPr="00621C9D" w:rsidSect="00BA4E49">
      <w:endnotePr>
        <w:numFmt w:val="decimal"/>
      </w:endnotePr>
      <w:type w:val="continuous"/>
      <w:pgSz w:w="11907" w:h="16840" w:code="9"/>
      <w:pgMar w:top="669" w:right="850" w:bottom="567" w:left="850" w:header="357" w:footer="351" w:gutter="0"/>
      <w:pgNumType w:start="1"/>
      <w:cols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6A2E" w14:textId="77777777" w:rsidR="00C26820" w:rsidRDefault="00C26820">
      <w:pPr>
        <w:spacing w:line="20" w:lineRule="exact"/>
        <w:rPr>
          <w:sz w:val="24"/>
        </w:rPr>
      </w:pPr>
    </w:p>
  </w:endnote>
  <w:endnote w:type="continuationSeparator" w:id="0">
    <w:p w14:paraId="51FBCF75" w14:textId="77777777" w:rsidR="00C26820" w:rsidRDefault="00C26820">
      <w:r>
        <w:rPr>
          <w:sz w:val="24"/>
        </w:rPr>
        <w:t xml:space="preserve"> </w:t>
      </w:r>
    </w:p>
  </w:endnote>
  <w:endnote w:type="continuationNotice" w:id="1">
    <w:p w14:paraId="32687DEA" w14:textId="77777777" w:rsidR="00C26820" w:rsidRDefault="00C268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B1FB" w14:textId="77777777" w:rsidR="00AA7C27" w:rsidRDefault="00AA7C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21E0" w14:textId="77777777" w:rsidR="00F35762" w:rsidRPr="003B6C6F" w:rsidRDefault="006718A9" w:rsidP="003B6C6F">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7216" behindDoc="1" locked="1" layoutInCell="0" allowOverlap="1" wp14:anchorId="51343D23" wp14:editId="5C1A4C6B">
              <wp:simplePos x="0" y="0"/>
              <wp:positionH relativeFrom="column">
                <wp:posOffset>10795</wp:posOffset>
              </wp:positionH>
              <wp:positionV relativeFrom="paragraph">
                <wp:posOffset>-17780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A0D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wvwEAAGg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7Lhc84cWBrRRjvF&#10;brMzg481FazdNmRtYnTPfoPiV2QO1z24ThWGL0dPbbPcUf3WkoPoCX83fEdJNbBPWGwa22AzJBnA&#10;xjKN43UaakxM0OGnxWeaMGfikqqgvvT5ENM3hZblTcMNUS64cNjElHlAfSnJ1zh81MaUWRvHhoZ/&#10;XcwXpSGi0TInc1kM3W5tAjtAfi3lK6Io874s4N7JAtYrkA/nfQJtTnu63LizF1n+ycgdyuM2XDyi&#10;cRaW56eX38v7uHS//SCrVwA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BJ1e/wvwEAAGgDAAAOAAAAAAAAAAAAAAAAAC4CAABkcnMv&#10;ZTJvRG9jLnhtbFBLAQItABQABgAIAAAAIQDw8Hc62AAAAAYBAAAPAAAAAAAAAAAAAAAAABkEAABk&#10;cnMvZG93bnJldi54bWxQSwUGAAAAAAQABADzAAAAHgUAAAAA&#10;" o:allowincell="f">
              <w10:anchorlock/>
            </v:line>
          </w:pict>
        </mc:Fallback>
      </mc:AlternateContent>
    </w:r>
    <w:r w:rsidR="003B6C6F" w:rsidRPr="00B014E4">
      <w:rPr>
        <w:rFonts w:ascii="Arial" w:hAnsi="Arial" w:cs="Arial"/>
        <w:sz w:val="16"/>
      </w:rPr>
      <w:t xml:space="preserve">DTV-VHV </w:t>
    </w:r>
    <w:r w:rsidR="003B6C6F">
      <w:rPr>
        <w:rFonts w:ascii="Arial" w:hAnsi="Arial" w:cs="Arial"/>
        <w:sz w:val="16"/>
      </w:rPr>
      <w:t xml:space="preserve">laufende Versicherung </w:t>
    </w:r>
    <w:r w:rsidR="00A00096">
      <w:rPr>
        <w:rFonts w:ascii="Arial" w:hAnsi="Arial" w:cs="Arial"/>
        <w:sz w:val="16"/>
      </w:rPr>
      <w:t>2003/2011</w:t>
    </w:r>
    <w:r w:rsidR="003B6C6F" w:rsidRPr="00B014E4">
      <w:rPr>
        <w:rFonts w:ascii="Arial" w:hAnsi="Arial" w:cs="Arial"/>
        <w:sz w:val="16"/>
      </w:rPr>
      <w:t xml:space="preserve">, </w:t>
    </w:r>
    <w:r w:rsidR="0059186D">
      <w:rPr>
        <w:rFonts w:ascii="Arial" w:hAnsi="Arial" w:cs="Arial"/>
        <w:sz w:val="16"/>
      </w:rPr>
      <w:t>Januar 2015</w:t>
    </w:r>
    <w:r w:rsidR="003B6C6F" w:rsidRPr="00B014E4">
      <w:rPr>
        <w:rFonts w:ascii="Arial" w:hAnsi="Arial" w:cs="Arial"/>
        <w:sz w:val="16"/>
      </w:rPr>
      <w:tab/>
      <w:t>Seite</w:t>
    </w:r>
    <w:r w:rsidR="003B6C6F" w:rsidRPr="00B014E4">
      <w:rPr>
        <w:rFonts w:ascii="Arial" w:hAnsi="Arial" w:cs="Arial"/>
        <w:sz w:val="16"/>
      </w:rPr>
      <w:tab/>
    </w:r>
    <w:r w:rsidR="003B6C6F" w:rsidRPr="00B014E4">
      <w:rPr>
        <w:rFonts w:ascii="Arial" w:hAnsi="Arial" w:cs="Arial"/>
        <w:sz w:val="16"/>
      </w:rPr>
      <w:fldChar w:fldCharType="begin"/>
    </w:r>
    <w:r w:rsidR="003B6C6F" w:rsidRPr="00B014E4">
      <w:rPr>
        <w:rFonts w:ascii="Arial" w:hAnsi="Arial" w:cs="Arial"/>
        <w:sz w:val="16"/>
      </w:rPr>
      <w:instrText xml:space="preserve"> PAGE  \* MERGEFORMAT </w:instrText>
    </w:r>
    <w:r w:rsidR="003B6C6F" w:rsidRPr="00B014E4">
      <w:rPr>
        <w:rFonts w:ascii="Arial" w:hAnsi="Arial" w:cs="Arial"/>
        <w:sz w:val="16"/>
      </w:rPr>
      <w:fldChar w:fldCharType="separate"/>
    </w:r>
    <w:r w:rsidR="00621C9D">
      <w:rPr>
        <w:rFonts w:ascii="Arial" w:hAnsi="Arial" w:cs="Arial"/>
        <w:noProof/>
        <w:sz w:val="16"/>
      </w:rPr>
      <w:t>2</w:t>
    </w:r>
    <w:r w:rsidR="003B6C6F" w:rsidRPr="00B014E4">
      <w:rPr>
        <w:rFonts w:ascii="Arial" w:hAnsi="Arial" w:cs="Arial"/>
        <w:sz w:val="16"/>
      </w:rPr>
      <w:fldChar w:fldCharType="end"/>
    </w:r>
    <w:r w:rsidR="003B6C6F" w:rsidRPr="00B014E4">
      <w:rPr>
        <w:rFonts w:ascii="Arial" w:hAnsi="Arial" w:cs="Arial"/>
        <w:sz w:val="16"/>
      </w:rPr>
      <w:t xml:space="preserve"> / </w:t>
    </w:r>
    <w:r w:rsidR="003B6C6F" w:rsidRPr="00B014E4">
      <w:rPr>
        <w:rFonts w:ascii="Arial" w:hAnsi="Arial" w:cs="Arial"/>
        <w:sz w:val="16"/>
      </w:rPr>
      <w:fldChar w:fldCharType="begin"/>
    </w:r>
    <w:r w:rsidR="003B6C6F" w:rsidRPr="00B014E4">
      <w:rPr>
        <w:rFonts w:ascii="Arial" w:hAnsi="Arial" w:cs="Arial"/>
        <w:sz w:val="16"/>
      </w:rPr>
      <w:instrText xml:space="preserve"> NUMPAGES  \* MERGEFORMAT </w:instrText>
    </w:r>
    <w:r w:rsidR="003B6C6F" w:rsidRPr="00B014E4">
      <w:rPr>
        <w:rFonts w:ascii="Arial" w:hAnsi="Arial" w:cs="Arial"/>
        <w:sz w:val="16"/>
      </w:rPr>
      <w:fldChar w:fldCharType="separate"/>
    </w:r>
    <w:r w:rsidR="00364EC1">
      <w:rPr>
        <w:rFonts w:ascii="Arial" w:hAnsi="Arial" w:cs="Arial"/>
        <w:noProof/>
        <w:sz w:val="16"/>
      </w:rPr>
      <w:t>1</w:t>
    </w:r>
    <w:r w:rsidR="003B6C6F" w:rsidRPr="00B014E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FE01" w14:textId="77777777" w:rsidR="00B014E4" w:rsidRPr="00B014E4" w:rsidRDefault="006718A9" w:rsidP="00B014E4">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6192" behindDoc="1" locked="1" layoutInCell="0" allowOverlap="1" wp14:anchorId="342AE0ED" wp14:editId="6C03B1DF">
              <wp:simplePos x="0" y="0"/>
              <wp:positionH relativeFrom="column">
                <wp:posOffset>10795</wp:posOffset>
              </wp:positionH>
              <wp:positionV relativeFrom="paragraph">
                <wp:posOffset>-17780</wp:posOffset>
              </wp:positionV>
              <wp:extent cx="457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65B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" o:allowincell="f">
              <w10:anchorlock/>
            </v:line>
          </w:pict>
        </mc:Fallback>
      </mc:AlternateContent>
    </w:r>
    <w:r w:rsidR="00B014E4" w:rsidRPr="00B014E4">
      <w:rPr>
        <w:rFonts w:ascii="Arial" w:hAnsi="Arial" w:cs="Arial"/>
        <w:sz w:val="16"/>
      </w:rPr>
      <w:t xml:space="preserve">DTV-VHV </w:t>
    </w:r>
    <w:r w:rsidR="003B6C6F">
      <w:rPr>
        <w:rFonts w:ascii="Arial" w:hAnsi="Arial" w:cs="Arial"/>
        <w:sz w:val="16"/>
      </w:rPr>
      <w:t xml:space="preserve">laufende Versicherung </w:t>
    </w:r>
    <w:r w:rsidR="001709F9">
      <w:rPr>
        <w:rFonts w:ascii="Arial" w:hAnsi="Arial" w:cs="Arial"/>
        <w:sz w:val="16"/>
      </w:rPr>
      <w:t>2003/2011</w:t>
    </w:r>
    <w:r w:rsidR="00B014E4" w:rsidRPr="00B014E4">
      <w:rPr>
        <w:rFonts w:ascii="Arial" w:hAnsi="Arial" w:cs="Arial"/>
        <w:sz w:val="16"/>
      </w:rPr>
      <w:t xml:space="preserve">, </w:t>
    </w:r>
    <w:r w:rsidR="00BA4E49">
      <w:rPr>
        <w:rFonts w:ascii="Arial" w:hAnsi="Arial" w:cs="Arial"/>
        <w:sz w:val="16"/>
      </w:rPr>
      <w:t xml:space="preserve">Erläuterung, </w:t>
    </w:r>
    <w:r w:rsidR="001B06D2">
      <w:rPr>
        <w:rFonts w:ascii="Arial" w:hAnsi="Arial" w:cs="Arial"/>
        <w:sz w:val="16"/>
      </w:rPr>
      <w:t>November</w:t>
    </w:r>
    <w:r w:rsidR="00BA4E49">
      <w:rPr>
        <w:rFonts w:ascii="Arial" w:hAnsi="Arial" w:cs="Arial"/>
        <w:sz w:val="16"/>
      </w:rPr>
      <w:t xml:space="preserve"> 2017</w:t>
    </w:r>
    <w:r w:rsidR="00B014E4" w:rsidRPr="00B014E4">
      <w:rPr>
        <w:rFonts w:ascii="Arial" w:hAnsi="Arial" w:cs="Arial"/>
        <w:sz w:val="16"/>
      </w:rPr>
      <w:tab/>
      <w:t>Seite</w:t>
    </w:r>
    <w:r w:rsidR="00B014E4" w:rsidRPr="00B014E4">
      <w:rPr>
        <w:rFonts w:ascii="Arial" w:hAnsi="Arial" w:cs="Arial"/>
        <w:sz w:val="16"/>
      </w:rPr>
      <w:tab/>
    </w:r>
    <w:r w:rsidR="00B014E4" w:rsidRPr="00B014E4">
      <w:rPr>
        <w:rFonts w:ascii="Arial" w:hAnsi="Arial" w:cs="Arial"/>
        <w:sz w:val="16"/>
      </w:rPr>
      <w:fldChar w:fldCharType="begin"/>
    </w:r>
    <w:r w:rsidR="00B014E4" w:rsidRPr="00B014E4">
      <w:rPr>
        <w:rFonts w:ascii="Arial" w:hAnsi="Arial" w:cs="Arial"/>
        <w:sz w:val="16"/>
      </w:rPr>
      <w:instrText xml:space="preserve"> PAGE  \* MERGEFORMAT </w:instrText>
    </w:r>
    <w:r w:rsidR="00B014E4" w:rsidRPr="00B014E4">
      <w:rPr>
        <w:rFonts w:ascii="Arial" w:hAnsi="Arial" w:cs="Arial"/>
        <w:sz w:val="16"/>
      </w:rPr>
      <w:fldChar w:fldCharType="separate"/>
    </w:r>
    <w:r w:rsidR="00364EC1">
      <w:rPr>
        <w:rFonts w:ascii="Arial" w:hAnsi="Arial" w:cs="Arial"/>
        <w:noProof/>
        <w:sz w:val="16"/>
      </w:rPr>
      <w:t>1</w:t>
    </w:r>
    <w:r w:rsidR="00B014E4" w:rsidRPr="00B014E4">
      <w:rPr>
        <w:rFonts w:ascii="Arial" w:hAnsi="Arial" w:cs="Arial"/>
        <w:sz w:val="16"/>
      </w:rPr>
      <w:fldChar w:fldCharType="end"/>
    </w:r>
    <w:r w:rsidR="00B014E4" w:rsidRPr="00B014E4">
      <w:rPr>
        <w:rFonts w:ascii="Arial" w:hAnsi="Arial" w:cs="Arial"/>
        <w:sz w:val="16"/>
      </w:rPr>
      <w:t xml:space="preserve"> / </w:t>
    </w:r>
    <w:r w:rsidR="00B014E4" w:rsidRPr="00B014E4">
      <w:rPr>
        <w:rFonts w:ascii="Arial" w:hAnsi="Arial" w:cs="Arial"/>
        <w:sz w:val="16"/>
      </w:rPr>
      <w:fldChar w:fldCharType="begin"/>
    </w:r>
    <w:r w:rsidR="00B014E4" w:rsidRPr="00B014E4">
      <w:rPr>
        <w:rFonts w:ascii="Arial" w:hAnsi="Arial" w:cs="Arial"/>
        <w:sz w:val="16"/>
      </w:rPr>
      <w:instrText xml:space="preserve"> NUMPAGES  \* MERGEFORMAT </w:instrText>
    </w:r>
    <w:r w:rsidR="00B014E4" w:rsidRPr="00B014E4">
      <w:rPr>
        <w:rFonts w:ascii="Arial" w:hAnsi="Arial" w:cs="Arial"/>
        <w:sz w:val="16"/>
      </w:rPr>
      <w:fldChar w:fldCharType="separate"/>
    </w:r>
    <w:r w:rsidR="00364EC1">
      <w:rPr>
        <w:rFonts w:ascii="Arial" w:hAnsi="Arial" w:cs="Arial"/>
        <w:noProof/>
        <w:sz w:val="16"/>
      </w:rPr>
      <w:t>1</w:t>
    </w:r>
    <w:r w:rsidR="00B014E4" w:rsidRPr="00B014E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195F" w14:textId="77777777" w:rsidR="00C26820" w:rsidRDefault="00C26820">
      <w:r>
        <w:rPr>
          <w:sz w:val="24"/>
        </w:rPr>
        <w:separator/>
      </w:r>
    </w:p>
  </w:footnote>
  <w:footnote w:type="continuationSeparator" w:id="0">
    <w:p w14:paraId="0C809102" w14:textId="77777777" w:rsidR="00C26820" w:rsidRDefault="00C2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E2AD" w14:textId="77777777" w:rsidR="00AA7C27" w:rsidRDefault="00AA7C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10E6" w14:textId="77777777" w:rsidR="00B81248" w:rsidRDefault="00B81248" w:rsidP="00B014E4">
    <w:pPr>
      <w:pStyle w:val="Kopfzeile"/>
      <w:spacing w:after="100"/>
      <w:rPr>
        <w:rFonts w:ascii="Arial" w:hAnsi="Arial" w:cs="Arial"/>
        <w:b/>
        <w:sz w:val="24"/>
      </w:rPr>
    </w:pPr>
  </w:p>
  <w:p w14:paraId="32F849B5" w14:textId="77777777" w:rsidR="00B81248" w:rsidRDefault="00B81248" w:rsidP="00B014E4">
    <w:pPr>
      <w:pStyle w:val="Kopfzeile"/>
      <w:spacing w:after="100"/>
      <w:rPr>
        <w:rFonts w:ascii="Arial" w:hAnsi="Arial" w:cs="Arial"/>
        <w:b/>
        <w:sz w:val="24"/>
      </w:rPr>
    </w:pPr>
  </w:p>
  <w:p w14:paraId="7A306BDC" w14:textId="77777777" w:rsidR="00B81248" w:rsidRDefault="00B81248" w:rsidP="00B014E4">
    <w:pPr>
      <w:pStyle w:val="Kopfzeile"/>
      <w:spacing w:after="100"/>
      <w:rPr>
        <w:rFonts w:ascii="Arial" w:hAnsi="Arial" w:cs="Arial"/>
        <w:b/>
        <w:sz w:val="24"/>
      </w:rPr>
    </w:pPr>
  </w:p>
  <w:p w14:paraId="2EA6BF39" w14:textId="77777777" w:rsidR="00B014E4" w:rsidRPr="00B014E4" w:rsidRDefault="006718A9" w:rsidP="00B014E4">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1" layoutInCell="0" allowOverlap="1" wp14:anchorId="172FDA3A" wp14:editId="21D3B0D9">
          <wp:simplePos x="0" y="0"/>
          <wp:positionH relativeFrom="page">
            <wp:posOffset>5172710</wp:posOffset>
          </wp:positionH>
          <wp:positionV relativeFrom="page">
            <wp:posOffset>196215</wp:posOffset>
          </wp:positionV>
          <wp:extent cx="1857375" cy="781050"/>
          <wp:effectExtent l="0" t="0" r="9525" b="0"/>
          <wp:wrapSquare wrapText="bothSides"/>
          <wp:docPr id="8" name="Bild 8" descr="LogoGDV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DV_RGB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711E" w14:textId="30DBB331" w:rsidR="00B81248" w:rsidRDefault="00B81248" w:rsidP="00B014E4">
    <w:pPr>
      <w:pStyle w:val="Kopfzeile"/>
      <w:pBdr>
        <w:bottom w:val="single" w:sz="4" w:space="1" w:color="auto"/>
      </w:pBdr>
      <w:spacing w:after="100"/>
      <w:rPr>
        <w:rFonts w:ascii="Arial" w:hAnsi="Arial" w:cs="Arial"/>
        <w:b/>
        <w:sz w:val="24"/>
      </w:rPr>
    </w:pPr>
  </w:p>
  <w:p w14:paraId="341F3E7A" w14:textId="07DB76B8" w:rsidR="00B81248" w:rsidRDefault="00CF53F8" w:rsidP="00B014E4">
    <w:pPr>
      <w:pStyle w:val="Kopfzeile"/>
      <w:pBdr>
        <w:bottom w:val="single" w:sz="4" w:space="1" w:color="auto"/>
      </w:pBdr>
      <w:spacing w:after="100"/>
      <w:rPr>
        <w:rFonts w:ascii="Arial" w:hAnsi="Arial" w:cs="Arial"/>
        <w:b/>
        <w:sz w:val="24"/>
      </w:rPr>
    </w:pPr>
    <w:r>
      <w:rPr>
        <w:noProof/>
      </w:rPr>
      <w:drawing>
        <wp:anchor distT="0" distB="0" distL="114300" distR="114300" simplePos="0" relativeHeight="251661312" behindDoc="0" locked="0" layoutInCell="0" allowOverlap="1" wp14:anchorId="39027D03" wp14:editId="2FE73ADA">
          <wp:simplePos x="0" y="0"/>
          <wp:positionH relativeFrom="column">
            <wp:posOffset>0</wp:posOffset>
          </wp:positionH>
          <wp:positionV relativeFrom="paragraph">
            <wp:posOffset>86360</wp:posOffset>
          </wp:positionV>
          <wp:extent cx="2343150" cy="409575"/>
          <wp:effectExtent l="0" t="0" r="0" b="0"/>
          <wp:wrapNone/>
          <wp:docPr id="6" name="Grafik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C991A" w14:textId="2D0437AF" w:rsidR="00B81248" w:rsidRDefault="00B81248" w:rsidP="00B014E4">
    <w:pPr>
      <w:pStyle w:val="Kopfzeile"/>
      <w:pBdr>
        <w:bottom w:val="single" w:sz="4" w:space="1" w:color="auto"/>
      </w:pBdr>
      <w:spacing w:after="100"/>
      <w:rPr>
        <w:rFonts w:ascii="Arial" w:hAnsi="Arial" w:cs="Arial"/>
        <w:b/>
        <w:sz w:val="24"/>
      </w:rPr>
    </w:pPr>
  </w:p>
  <w:p w14:paraId="517A388F" w14:textId="32A89150" w:rsidR="00B014E4" w:rsidRPr="00B014E4" w:rsidRDefault="00B014E4" w:rsidP="00B014E4">
    <w:pPr>
      <w:pStyle w:val="Kopfzeile"/>
      <w:pBdr>
        <w:bottom w:val="single" w:sz="4" w:space="1" w:color="auto"/>
      </w:pBdr>
      <w:spacing w:after="100"/>
      <w:rPr>
        <w:rFonts w:ascii="Arial" w:hAnsi="Arial" w:cs="Arial"/>
        <w:b/>
        <w:sz w:val="24"/>
      </w:rPr>
    </w:pPr>
  </w:p>
  <w:p w14:paraId="58D8B60A" w14:textId="77777777" w:rsidR="00B014E4" w:rsidRPr="00B014E4" w:rsidRDefault="00B014E4" w:rsidP="00B014E4">
    <w:pPr>
      <w:pStyle w:val="Kopfzeile"/>
      <w:pBdr>
        <w:bottom w:val="single" w:sz="4" w:space="1" w:color="auto"/>
      </w:pBdr>
      <w:jc w:val="center"/>
      <w:rPr>
        <w:rFonts w:ascii="Arial" w:hAnsi="Arial" w:cs="Arial"/>
      </w:rPr>
    </w:pPr>
    <w:r w:rsidRPr="00B014E4">
      <w:rPr>
        <w:rFonts w:ascii="Arial" w:hAnsi="Arial" w:cs="Arial"/>
      </w:rPr>
      <w:t>Unverbindliche Bekanntgabe des Gesamtverbandes der Deutschen Versicherungswirtschaft e. V. (GDV)</w:t>
    </w:r>
    <w:r w:rsidRPr="00B014E4">
      <w:rPr>
        <w:rFonts w:ascii="Arial" w:hAnsi="Arial" w:cs="Arial"/>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lvlText w:val="*"/>
      <w:lvlJc w:val="left"/>
    </w:lvl>
  </w:abstractNum>
  <w:abstractNum w:abstractNumId="1" w15:restartNumberingAfterBreak="0">
    <w:nsid w:val="02314649"/>
    <w:multiLevelType w:val="multilevel"/>
    <w:tmpl w:val="24FE96C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E01DE"/>
    <w:multiLevelType w:val="multilevel"/>
    <w:tmpl w:val="B02C004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3" w15:restartNumberingAfterBreak="0">
    <w:nsid w:val="0B4468D9"/>
    <w:multiLevelType w:val="hybridMultilevel"/>
    <w:tmpl w:val="DCD2174E"/>
    <w:lvl w:ilvl="0" w:tplc="C5A830F6">
      <w:start w:val="1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87A36"/>
    <w:multiLevelType w:val="multilevel"/>
    <w:tmpl w:val="95FE9B22"/>
    <w:lvl w:ilvl="0">
      <w:start w:val="8"/>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E60B37"/>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6" w15:restartNumberingAfterBreak="0">
    <w:nsid w:val="0FA27C0E"/>
    <w:multiLevelType w:val="hybridMultilevel"/>
    <w:tmpl w:val="6708FD34"/>
    <w:lvl w:ilvl="0" w:tplc="9F109DF0">
      <w:start w:val="10"/>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3D5022E"/>
    <w:multiLevelType w:val="multilevel"/>
    <w:tmpl w:val="86F4CFE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2997BEF"/>
    <w:multiLevelType w:val="multilevel"/>
    <w:tmpl w:val="8A685F8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9" w15:restartNumberingAfterBreak="0">
    <w:nsid w:val="28A62F98"/>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660A50"/>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FC036C"/>
    <w:multiLevelType w:val="multilevel"/>
    <w:tmpl w:val="D0AE1A72"/>
    <w:lvl w:ilvl="0">
      <w:start w:val="6"/>
      <w:numFmt w:val="decimal"/>
      <w:lvlText w:val="%1"/>
      <w:lvlJc w:val="left"/>
      <w:pPr>
        <w:tabs>
          <w:tab w:val="num" w:pos="360"/>
        </w:tabs>
        <w:ind w:left="360" w:hanging="360"/>
      </w:pPr>
      <w:rPr>
        <w:rFonts w:hint="default"/>
        <w:color w:val="000000"/>
      </w:rPr>
    </w:lvl>
    <w:lvl w:ilvl="1">
      <w:start w:val="9"/>
      <w:numFmt w:val="decimal"/>
      <w:lvlText w:val="%1.%2"/>
      <w:lvlJc w:val="left"/>
      <w:pPr>
        <w:tabs>
          <w:tab w:val="num" w:pos="366"/>
        </w:tabs>
        <w:ind w:left="366" w:hanging="360"/>
      </w:pPr>
      <w:rPr>
        <w:rFonts w:hint="default"/>
        <w:color w:val="000000"/>
      </w:rPr>
    </w:lvl>
    <w:lvl w:ilvl="2">
      <w:start w:val="1"/>
      <w:numFmt w:val="decimal"/>
      <w:lvlText w:val="%1.%2.%3"/>
      <w:lvlJc w:val="left"/>
      <w:pPr>
        <w:tabs>
          <w:tab w:val="num" w:pos="732"/>
        </w:tabs>
        <w:ind w:left="732" w:hanging="720"/>
      </w:pPr>
      <w:rPr>
        <w:rFonts w:hint="default"/>
        <w:color w:val="000000"/>
      </w:rPr>
    </w:lvl>
    <w:lvl w:ilvl="3">
      <w:start w:val="1"/>
      <w:numFmt w:val="decimal"/>
      <w:lvlText w:val="%1.%2.%3.%4"/>
      <w:lvlJc w:val="left"/>
      <w:pPr>
        <w:tabs>
          <w:tab w:val="num" w:pos="738"/>
        </w:tabs>
        <w:ind w:left="738" w:hanging="720"/>
      </w:pPr>
      <w:rPr>
        <w:rFonts w:hint="default"/>
        <w:color w:val="000000"/>
      </w:rPr>
    </w:lvl>
    <w:lvl w:ilvl="4">
      <w:start w:val="1"/>
      <w:numFmt w:val="decimal"/>
      <w:lvlText w:val="%1.%2.%3.%4.%5"/>
      <w:lvlJc w:val="left"/>
      <w:pPr>
        <w:tabs>
          <w:tab w:val="num" w:pos="744"/>
        </w:tabs>
        <w:ind w:left="744" w:hanging="720"/>
      </w:pPr>
      <w:rPr>
        <w:rFonts w:hint="default"/>
        <w:color w:val="000000"/>
      </w:rPr>
    </w:lvl>
    <w:lvl w:ilvl="5">
      <w:start w:val="1"/>
      <w:numFmt w:val="decimal"/>
      <w:lvlText w:val="%1.%2.%3.%4.%5.%6"/>
      <w:lvlJc w:val="left"/>
      <w:pPr>
        <w:tabs>
          <w:tab w:val="num" w:pos="1110"/>
        </w:tabs>
        <w:ind w:left="1110" w:hanging="1080"/>
      </w:pPr>
      <w:rPr>
        <w:rFonts w:hint="default"/>
        <w:color w:val="000000"/>
      </w:rPr>
    </w:lvl>
    <w:lvl w:ilvl="6">
      <w:start w:val="1"/>
      <w:numFmt w:val="decimal"/>
      <w:lvlText w:val="%1.%2.%3.%4.%5.%6.%7"/>
      <w:lvlJc w:val="left"/>
      <w:pPr>
        <w:tabs>
          <w:tab w:val="num" w:pos="1116"/>
        </w:tabs>
        <w:ind w:left="1116" w:hanging="1080"/>
      </w:pPr>
      <w:rPr>
        <w:rFonts w:hint="default"/>
        <w:color w:val="000000"/>
      </w:rPr>
    </w:lvl>
    <w:lvl w:ilvl="7">
      <w:start w:val="1"/>
      <w:numFmt w:val="decimal"/>
      <w:lvlText w:val="%1.%2.%3.%4.%5.%6.%7.%8"/>
      <w:lvlJc w:val="left"/>
      <w:pPr>
        <w:tabs>
          <w:tab w:val="num" w:pos="1482"/>
        </w:tabs>
        <w:ind w:left="1482" w:hanging="1440"/>
      </w:pPr>
      <w:rPr>
        <w:rFonts w:hint="default"/>
        <w:color w:val="000000"/>
      </w:rPr>
    </w:lvl>
    <w:lvl w:ilvl="8">
      <w:start w:val="1"/>
      <w:numFmt w:val="decimal"/>
      <w:lvlText w:val="%1.%2.%3.%4.%5.%6.%7.%8.%9"/>
      <w:lvlJc w:val="left"/>
      <w:pPr>
        <w:tabs>
          <w:tab w:val="num" w:pos="1488"/>
        </w:tabs>
        <w:ind w:left="1488" w:hanging="1440"/>
      </w:pPr>
      <w:rPr>
        <w:rFonts w:hint="default"/>
        <w:color w:val="000000"/>
      </w:rPr>
    </w:lvl>
  </w:abstractNum>
  <w:abstractNum w:abstractNumId="12" w15:restartNumberingAfterBreak="0">
    <w:nsid w:val="3C972226"/>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54504"/>
    <w:multiLevelType w:val="multilevel"/>
    <w:tmpl w:val="B6B6E2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6BD1205"/>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E5307A"/>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F1B080F"/>
    <w:multiLevelType w:val="multilevel"/>
    <w:tmpl w:val="913E5C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00C28B7"/>
    <w:multiLevelType w:val="multilevel"/>
    <w:tmpl w:val="1C845A3A"/>
    <w:lvl w:ilvl="0">
      <w:start w:val="1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68757D"/>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C07A77"/>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2865D7"/>
    <w:multiLevelType w:val="singleLevel"/>
    <w:tmpl w:val="6B1A315E"/>
    <w:lvl w:ilvl="0">
      <w:start w:val="1"/>
      <w:numFmt w:val="bullet"/>
      <w:lvlText w:val="-"/>
      <w:lvlJc w:val="left"/>
      <w:pPr>
        <w:tabs>
          <w:tab w:val="num" w:pos="1406"/>
        </w:tabs>
        <w:ind w:left="1406" w:hanging="555"/>
      </w:pPr>
      <w:rPr>
        <w:rFonts w:ascii="Times New Roman" w:hAnsi="Times New Roman" w:hint="default"/>
      </w:rPr>
    </w:lvl>
  </w:abstractNum>
  <w:abstractNum w:abstractNumId="21" w15:restartNumberingAfterBreak="0">
    <w:nsid w:val="58AF7AC2"/>
    <w:multiLevelType w:val="multilevel"/>
    <w:tmpl w:val="50C2A6D6"/>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CF27A52"/>
    <w:multiLevelType w:val="hybridMultilevel"/>
    <w:tmpl w:val="89B67436"/>
    <w:lvl w:ilvl="0" w:tplc="70B8C38C">
      <w:start w:val="1"/>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5DDB5B0C"/>
    <w:multiLevelType w:val="multilevel"/>
    <w:tmpl w:val="6922C056"/>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677D75"/>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5" w15:restartNumberingAfterBreak="0">
    <w:nsid w:val="67643433"/>
    <w:multiLevelType w:val="hybridMultilevel"/>
    <w:tmpl w:val="4A40E14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0F37BC"/>
    <w:multiLevelType w:val="multilevel"/>
    <w:tmpl w:val="DC288BE0"/>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A30823"/>
    <w:multiLevelType w:val="multilevel"/>
    <w:tmpl w:val="7C9E1DC6"/>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F91DA3"/>
    <w:multiLevelType w:val="multilevel"/>
    <w:tmpl w:val="655CEB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29" w15:restartNumberingAfterBreak="0">
    <w:nsid w:val="77DA4304"/>
    <w:multiLevelType w:val="multilevel"/>
    <w:tmpl w:val="540E059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7A76E6"/>
    <w:multiLevelType w:val="multilevel"/>
    <w:tmpl w:val="5BC61A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E54396D"/>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22"/>
  </w:num>
  <w:num w:numId="4">
    <w:abstractNumId w:val="13"/>
  </w:num>
  <w:num w:numId="5">
    <w:abstractNumId w:val="28"/>
  </w:num>
  <w:num w:numId="6">
    <w:abstractNumId w:val="10"/>
  </w:num>
  <w:num w:numId="7">
    <w:abstractNumId w:val="14"/>
  </w:num>
  <w:num w:numId="8">
    <w:abstractNumId w:val="4"/>
  </w:num>
  <w:num w:numId="9">
    <w:abstractNumId w:val="26"/>
  </w:num>
  <w:num w:numId="10">
    <w:abstractNumId w:val="23"/>
  </w:num>
  <w:num w:numId="11">
    <w:abstractNumId w:val="27"/>
  </w:num>
  <w:num w:numId="12">
    <w:abstractNumId w:val="8"/>
  </w:num>
  <w:num w:numId="13">
    <w:abstractNumId w:val="2"/>
  </w:num>
  <w:num w:numId="14">
    <w:abstractNumId w:val="11"/>
  </w:num>
  <w:num w:numId="15">
    <w:abstractNumId w:val="30"/>
  </w:num>
  <w:num w:numId="16">
    <w:abstractNumId w:val="7"/>
  </w:num>
  <w:num w:numId="17">
    <w:abstractNumId w:val="29"/>
  </w:num>
  <w:num w:numId="18">
    <w:abstractNumId w:val="16"/>
  </w:num>
  <w:num w:numId="19">
    <w:abstractNumId w:val="5"/>
  </w:num>
  <w:num w:numId="20">
    <w:abstractNumId w:val="6"/>
  </w:num>
  <w:num w:numId="21">
    <w:abstractNumId w:val="3"/>
  </w:num>
  <w:num w:numId="22">
    <w:abstractNumId w:val="15"/>
  </w:num>
  <w:num w:numId="23">
    <w:abstractNumId w:val="19"/>
  </w:num>
  <w:num w:numId="24">
    <w:abstractNumId w:val="25"/>
  </w:num>
  <w:num w:numId="25">
    <w:abstractNumId w:val="17"/>
  </w:num>
  <w:num w:numId="26">
    <w:abstractNumId w:val="21"/>
  </w:num>
  <w:num w:numId="27">
    <w:abstractNumId w:val="31"/>
  </w:num>
  <w:num w:numId="28">
    <w:abstractNumId w:val="12"/>
  </w:num>
  <w:num w:numId="29">
    <w:abstractNumId w:val="18"/>
  </w:num>
  <w:num w:numId="30">
    <w:abstractNumId w:val="9"/>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527"/>
    <w:rsid w:val="0000286F"/>
    <w:rsid w:val="00004F3A"/>
    <w:rsid w:val="00012A51"/>
    <w:rsid w:val="00027207"/>
    <w:rsid w:val="00027712"/>
    <w:rsid w:val="00032F91"/>
    <w:rsid w:val="00037B07"/>
    <w:rsid w:val="00045949"/>
    <w:rsid w:val="000469B0"/>
    <w:rsid w:val="000535A4"/>
    <w:rsid w:val="000628ED"/>
    <w:rsid w:val="000670D0"/>
    <w:rsid w:val="0006727C"/>
    <w:rsid w:val="00067312"/>
    <w:rsid w:val="00071DB6"/>
    <w:rsid w:val="00080737"/>
    <w:rsid w:val="00082D96"/>
    <w:rsid w:val="000873F4"/>
    <w:rsid w:val="00096CDE"/>
    <w:rsid w:val="000A151B"/>
    <w:rsid w:val="000C7CC0"/>
    <w:rsid w:val="000D2243"/>
    <w:rsid w:val="000D25FC"/>
    <w:rsid w:val="000D3470"/>
    <w:rsid w:val="000D4732"/>
    <w:rsid w:val="000D4F98"/>
    <w:rsid w:val="000E1CE6"/>
    <w:rsid w:val="000E2CBF"/>
    <w:rsid w:val="000F33D7"/>
    <w:rsid w:val="001034B2"/>
    <w:rsid w:val="00107369"/>
    <w:rsid w:val="00121A9E"/>
    <w:rsid w:val="001261BF"/>
    <w:rsid w:val="0014132D"/>
    <w:rsid w:val="0015046D"/>
    <w:rsid w:val="001579DD"/>
    <w:rsid w:val="001709F9"/>
    <w:rsid w:val="0017244F"/>
    <w:rsid w:val="001755B5"/>
    <w:rsid w:val="00175C2B"/>
    <w:rsid w:val="00180DE2"/>
    <w:rsid w:val="00182E3A"/>
    <w:rsid w:val="001916FA"/>
    <w:rsid w:val="00192F97"/>
    <w:rsid w:val="00193283"/>
    <w:rsid w:val="00195569"/>
    <w:rsid w:val="001B06D2"/>
    <w:rsid w:val="001B132D"/>
    <w:rsid w:val="001B4200"/>
    <w:rsid w:val="001C5562"/>
    <w:rsid w:val="001D141A"/>
    <w:rsid w:val="001D43FD"/>
    <w:rsid w:val="001E3BA0"/>
    <w:rsid w:val="001E6A96"/>
    <w:rsid w:val="001F5775"/>
    <w:rsid w:val="002076C4"/>
    <w:rsid w:val="002127D8"/>
    <w:rsid w:val="002144E9"/>
    <w:rsid w:val="00220151"/>
    <w:rsid w:val="0022047D"/>
    <w:rsid w:val="00220FB8"/>
    <w:rsid w:val="00221474"/>
    <w:rsid w:val="00232CBC"/>
    <w:rsid w:val="00240AD8"/>
    <w:rsid w:val="00240FA4"/>
    <w:rsid w:val="002560CB"/>
    <w:rsid w:val="00262A51"/>
    <w:rsid w:val="002638C0"/>
    <w:rsid w:val="00263A50"/>
    <w:rsid w:val="002757F2"/>
    <w:rsid w:val="002842DE"/>
    <w:rsid w:val="00284FE6"/>
    <w:rsid w:val="002A3C89"/>
    <w:rsid w:val="002B0494"/>
    <w:rsid w:val="002C7649"/>
    <w:rsid w:val="002D7716"/>
    <w:rsid w:val="002E25BA"/>
    <w:rsid w:val="002F2AC0"/>
    <w:rsid w:val="002F4571"/>
    <w:rsid w:val="00301EA8"/>
    <w:rsid w:val="00306C90"/>
    <w:rsid w:val="003112E4"/>
    <w:rsid w:val="00325386"/>
    <w:rsid w:val="00330355"/>
    <w:rsid w:val="003325D6"/>
    <w:rsid w:val="00333AB5"/>
    <w:rsid w:val="003363F4"/>
    <w:rsid w:val="003374F0"/>
    <w:rsid w:val="00341DB7"/>
    <w:rsid w:val="00343289"/>
    <w:rsid w:val="00344CFD"/>
    <w:rsid w:val="00361844"/>
    <w:rsid w:val="00364EC1"/>
    <w:rsid w:val="00365318"/>
    <w:rsid w:val="00365849"/>
    <w:rsid w:val="003658F3"/>
    <w:rsid w:val="00373556"/>
    <w:rsid w:val="003750BF"/>
    <w:rsid w:val="00384854"/>
    <w:rsid w:val="00385E0A"/>
    <w:rsid w:val="0039258E"/>
    <w:rsid w:val="003A1D27"/>
    <w:rsid w:val="003A499E"/>
    <w:rsid w:val="003B3A2F"/>
    <w:rsid w:val="003B6C6F"/>
    <w:rsid w:val="003E1D4A"/>
    <w:rsid w:val="003E56D3"/>
    <w:rsid w:val="00401D0F"/>
    <w:rsid w:val="004073B2"/>
    <w:rsid w:val="00413C96"/>
    <w:rsid w:val="00421294"/>
    <w:rsid w:val="0042226B"/>
    <w:rsid w:val="00430B7A"/>
    <w:rsid w:val="004404A8"/>
    <w:rsid w:val="00442E6E"/>
    <w:rsid w:val="0044300F"/>
    <w:rsid w:val="00444565"/>
    <w:rsid w:val="00444E27"/>
    <w:rsid w:val="00456047"/>
    <w:rsid w:val="00456885"/>
    <w:rsid w:val="00461227"/>
    <w:rsid w:val="00466B27"/>
    <w:rsid w:val="004675CC"/>
    <w:rsid w:val="0047230D"/>
    <w:rsid w:val="0047362C"/>
    <w:rsid w:val="004744E9"/>
    <w:rsid w:val="00474F7E"/>
    <w:rsid w:val="00475AA0"/>
    <w:rsid w:val="00476012"/>
    <w:rsid w:val="004824AD"/>
    <w:rsid w:val="0048478E"/>
    <w:rsid w:val="004866CF"/>
    <w:rsid w:val="004915DC"/>
    <w:rsid w:val="004A19C8"/>
    <w:rsid w:val="004A39D1"/>
    <w:rsid w:val="004A432B"/>
    <w:rsid w:val="004A7214"/>
    <w:rsid w:val="004B1D2B"/>
    <w:rsid w:val="004B7AA1"/>
    <w:rsid w:val="004C44A3"/>
    <w:rsid w:val="004C64E3"/>
    <w:rsid w:val="004E1E8F"/>
    <w:rsid w:val="004E2905"/>
    <w:rsid w:val="004E3946"/>
    <w:rsid w:val="004F772F"/>
    <w:rsid w:val="00500141"/>
    <w:rsid w:val="005028E7"/>
    <w:rsid w:val="00510622"/>
    <w:rsid w:val="00517541"/>
    <w:rsid w:val="00521154"/>
    <w:rsid w:val="00523B6A"/>
    <w:rsid w:val="005347B5"/>
    <w:rsid w:val="0054108B"/>
    <w:rsid w:val="00541BF3"/>
    <w:rsid w:val="0054294C"/>
    <w:rsid w:val="00543AA7"/>
    <w:rsid w:val="0054780F"/>
    <w:rsid w:val="00554536"/>
    <w:rsid w:val="00557DC2"/>
    <w:rsid w:val="00557F1C"/>
    <w:rsid w:val="005621EE"/>
    <w:rsid w:val="00562BC9"/>
    <w:rsid w:val="00576D0E"/>
    <w:rsid w:val="00581A8D"/>
    <w:rsid w:val="00583F15"/>
    <w:rsid w:val="00584559"/>
    <w:rsid w:val="005858CF"/>
    <w:rsid w:val="00585B75"/>
    <w:rsid w:val="0059186D"/>
    <w:rsid w:val="00591985"/>
    <w:rsid w:val="005A2270"/>
    <w:rsid w:val="005A360B"/>
    <w:rsid w:val="005A5BBA"/>
    <w:rsid w:val="005A6F0E"/>
    <w:rsid w:val="005B7341"/>
    <w:rsid w:val="005B7D84"/>
    <w:rsid w:val="005C0B13"/>
    <w:rsid w:val="005C5AD7"/>
    <w:rsid w:val="005C69F3"/>
    <w:rsid w:val="005D1BF3"/>
    <w:rsid w:val="005E4268"/>
    <w:rsid w:val="005E7B8B"/>
    <w:rsid w:val="005F6893"/>
    <w:rsid w:val="006018FB"/>
    <w:rsid w:val="006101F3"/>
    <w:rsid w:val="00610973"/>
    <w:rsid w:val="0061687A"/>
    <w:rsid w:val="00621C9D"/>
    <w:rsid w:val="006243AE"/>
    <w:rsid w:val="0062472C"/>
    <w:rsid w:val="0062764C"/>
    <w:rsid w:val="00630B2D"/>
    <w:rsid w:val="0065251D"/>
    <w:rsid w:val="00653C9C"/>
    <w:rsid w:val="006615FA"/>
    <w:rsid w:val="006718A9"/>
    <w:rsid w:val="00685720"/>
    <w:rsid w:val="0069009A"/>
    <w:rsid w:val="006A1BD6"/>
    <w:rsid w:val="006B1244"/>
    <w:rsid w:val="006C3A6E"/>
    <w:rsid w:val="006C45DB"/>
    <w:rsid w:val="006C4E4A"/>
    <w:rsid w:val="006C621A"/>
    <w:rsid w:val="006C7FD7"/>
    <w:rsid w:val="006E497C"/>
    <w:rsid w:val="006F067B"/>
    <w:rsid w:val="006F669E"/>
    <w:rsid w:val="006F6FBE"/>
    <w:rsid w:val="007042A8"/>
    <w:rsid w:val="00733C73"/>
    <w:rsid w:val="00757B8C"/>
    <w:rsid w:val="00757C5C"/>
    <w:rsid w:val="00773A6C"/>
    <w:rsid w:val="007822B8"/>
    <w:rsid w:val="00786C1B"/>
    <w:rsid w:val="00787F15"/>
    <w:rsid w:val="00793CA4"/>
    <w:rsid w:val="007A00DB"/>
    <w:rsid w:val="007A499B"/>
    <w:rsid w:val="007B7797"/>
    <w:rsid w:val="007C59CF"/>
    <w:rsid w:val="007C639D"/>
    <w:rsid w:val="007D4484"/>
    <w:rsid w:val="007D65DE"/>
    <w:rsid w:val="007D79CB"/>
    <w:rsid w:val="007E4612"/>
    <w:rsid w:val="007E56E6"/>
    <w:rsid w:val="007F1221"/>
    <w:rsid w:val="007F4B2A"/>
    <w:rsid w:val="007F7B9E"/>
    <w:rsid w:val="008016B3"/>
    <w:rsid w:val="008041E4"/>
    <w:rsid w:val="00806046"/>
    <w:rsid w:val="008145A5"/>
    <w:rsid w:val="00816E36"/>
    <w:rsid w:val="00817B38"/>
    <w:rsid w:val="00817BCC"/>
    <w:rsid w:val="00824DF1"/>
    <w:rsid w:val="00830BAF"/>
    <w:rsid w:val="00841478"/>
    <w:rsid w:val="00842B08"/>
    <w:rsid w:val="00844FF9"/>
    <w:rsid w:val="0085210C"/>
    <w:rsid w:val="00854DB5"/>
    <w:rsid w:val="00876CC5"/>
    <w:rsid w:val="0088480F"/>
    <w:rsid w:val="008918A3"/>
    <w:rsid w:val="0089412A"/>
    <w:rsid w:val="008A643C"/>
    <w:rsid w:val="008B2806"/>
    <w:rsid w:val="008B547F"/>
    <w:rsid w:val="008C201B"/>
    <w:rsid w:val="008C4044"/>
    <w:rsid w:val="008C4CEC"/>
    <w:rsid w:val="008D1471"/>
    <w:rsid w:val="008E5E85"/>
    <w:rsid w:val="00902FE8"/>
    <w:rsid w:val="00907375"/>
    <w:rsid w:val="009111BA"/>
    <w:rsid w:val="00912BFF"/>
    <w:rsid w:val="00925863"/>
    <w:rsid w:val="00927F19"/>
    <w:rsid w:val="00937320"/>
    <w:rsid w:val="009541D0"/>
    <w:rsid w:val="00964697"/>
    <w:rsid w:val="009738B4"/>
    <w:rsid w:val="00980EB2"/>
    <w:rsid w:val="00983EF2"/>
    <w:rsid w:val="00992B69"/>
    <w:rsid w:val="00992EAA"/>
    <w:rsid w:val="009A1409"/>
    <w:rsid w:val="009A79F5"/>
    <w:rsid w:val="009A7F8B"/>
    <w:rsid w:val="009D0D8B"/>
    <w:rsid w:val="009D2106"/>
    <w:rsid w:val="009D3ED7"/>
    <w:rsid w:val="009D4926"/>
    <w:rsid w:val="009D6B9A"/>
    <w:rsid w:val="009E08EB"/>
    <w:rsid w:val="009E36BB"/>
    <w:rsid w:val="009E6763"/>
    <w:rsid w:val="009F4600"/>
    <w:rsid w:val="009F4C61"/>
    <w:rsid w:val="009F551E"/>
    <w:rsid w:val="009F6775"/>
    <w:rsid w:val="00A00096"/>
    <w:rsid w:val="00A05F94"/>
    <w:rsid w:val="00A20FDE"/>
    <w:rsid w:val="00A259C5"/>
    <w:rsid w:val="00A2634B"/>
    <w:rsid w:val="00A27D46"/>
    <w:rsid w:val="00A31951"/>
    <w:rsid w:val="00A33BF8"/>
    <w:rsid w:val="00A37A51"/>
    <w:rsid w:val="00A46911"/>
    <w:rsid w:val="00A61EF1"/>
    <w:rsid w:val="00A62C59"/>
    <w:rsid w:val="00A715E9"/>
    <w:rsid w:val="00A82815"/>
    <w:rsid w:val="00A86DEB"/>
    <w:rsid w:val="00A90040"/>
    <w:rsid w:val="00A901D8"/>
    <w:rsid w:val="00AA0C3C"/>
    <w:rsid w:val="00AA16F2"/>
    <w:rsid w:val="00AA2D0B"/>
    <w:rsid w:val="00AA7C27"/>
    <w:rsid w:val="00AB3819"/>
    <w:rsid w:val="00AB5ECA"/>
    <w:rsid w:val="00AB7A10"/>
    <w:rsid w:val="00AD1138"/>
    <w:rsid w:val="00AD32D7"/>
    <w:rsid w:val="00AD6F58"/>
    <w:rsid w:val="00AF19A6"/>
    <w:rsid w:val="00AF2C2F"/>
    <w:rsid w:val="00AF3BC1"/>
    <w:rsid w:val="00AF540D"/>
    <w:rsid w:val="00B00410"/>
    <w:rsid w:val="00B014E4"/>
    <w:rsid w:val="00B0577F"/>
    <w:rsid w:val="00B079E6"/>
    <w:rsid w:val="00B119A8"/>
    <w:rsid w:val="00B11CFF"/>
    <w:rsid w:val="00B122EA"/>
    <w:rsid w:val="00B238B0"/>
    <w:rsid w:val="00B25A01"/>
    <w:rsid w:val="00B26AB2"/>
    <w:rsid w:val="00B3204A"/>
    <w:rsid w:val="00B3506A"/>
    <w:rsid w:val="00B3610A"/>
    <w:rsid w:val="00B625D3"/>
    <w:rsid w:val="00B6363F"/>
    <w:rsid w:val="00B6369B"/>
    <w:rsid w:val="00B64CBE"/>
    <w:rsid w:val="00B81248"/>
    <w:rsid w:val="00B8169F"/>
    <w:rsid w:val="00B822F9"/>
    <w:rsid w:val="00B82442"/>
    <w:rsid w:val="00B921E6"/>
    <w:rsid w:val="00B964D6"/>
    <w:rsid w:val="00BA3E7F"/>
    <w:rsid w:val="00BA4E49"/>
    <w:rsid w:val="00BB4567"/>
    <w:rsid w:val="00BC0F95"/>
    <w:rsid w:val="00BC1B26"/>
    <w:rsid w:val="00BC3BF8"/>
    <w:rsid w:val="00BC44D6"/>
    <w:rsid w:val="00BD289A"/>
    <w:rsid w:val="00BE2337"/>
    <w:rsid w:val="00BE2D79"/>
    <w:rsid w:val="00BE358A"/>
    <w:rsid w:val="00BE4092"/>
    <w:rsid w:val="00BE6066"/>
    <w:rsid w:val="00BF7ADB"/>
    <w:rsid w:val="00C00EF2"/>
    <w:rsid w:val="00C03235"/>
    <w:rsid w:val="00C04147"/>
    <w:rsid w:val="00C04517"/>
    <w:rsid w:val="00C055E3"/>
    <w:rsid w:val="00C059B5"/>
    <w:rsid w:val="00C06BBE"/>
    <w:rsid w:val="00C07C8D"/>
    <w:rsid w:val="00C218FC"/>
    <w:rsid w:val="00C26820"/>
    <w:rsid w:val="00C3150A"/>
    <w:rsid w:val="00C37B75"/>
    <w:rsid w:val="00C4178E"/>
    <w:rsid w:val="00C5629A"/>
    <w:rsid w:val="00C7410E"/>
    <w:rsid w:val="00C865CE"/>
    <w:rsid w:val="00C87ECB"/>
    <w:rsid w:val="00C90F1B"/>
    <w:rsid w:val="00C96AA2"/>
    <w:rsid w:val="00C9795E"/>
    <w:rsid w:val="00CA0576"/>
    <w:rsid w:val="00CA352C"/>
    <w:rsid w:val="00CA6F8F"/>
    <w:rsid w:val="00CB3629"/>
    <w:rsid w:val="00CC0B20"/>
    <w:rsid w:val="00CD0977"/>
    <w:rsid w:val="00CD1C4E"/>
    <w:rsid w:val="00CD1F01"/>
    <w:rsid w:val="00CD257C"/>
    <w:rsid w:val="00CE43A2"/>
    <w:rsid w:val="00CE539D"/>
    <w:rsid w:val="00CF4AC7"/>
    <w:rsid w:val="00CF53F8"/>
    <w:rsid w:val="00CF69AA"/>
    <w:rsid w:val="00D1039E"/>
    <w:rsid w:val="00D12E75"/>
    <w:rsid w:val="00D16891"/>
    <w:rsid w:val="00D20147"/>
    <w:rsid w:val="00D248EC"/>
    <w:rsid w:val="00D30238"/>
    <w:rsid w:val="00D3045A"/>
    <w:rsid w:val="00D30B6C"/>
    <w:rsid w:val="00D34B4E"/>
    <w:rsid w:val="00D4160F"/>
    <w:rsid w:val="00D52733"/>
    <w:rsid w:val="00D5274E"/>
    <w:rsid w:val="00D640AC"/>
    <w:rsid w:val="00D70A75"/>
    <w:rsid w:val="00D77D08"/>
    <w:rsid w:val="00D81535"/>
    <w:rsid w:val="00D97133"/>
    <w:rsid w:val="00DA0244"/>
    <w:rsid w:val="00DA2BBC"/>
    <w:rsid w:val="00DA4EA4"/>
    <w:rsid w:val="00DA6746"/>
    <w:rsid w:val="00DB31CC"/>
    <w:rsid w:val="00DB3F8D"/>
    <w:rsid w:val="00DB477B"/>
    <w:rsid w:val="00DC3527"/>
    <w:rsid w:val="00DE2EB5"/>
    <w:rsid w:val="00DE5EC5"/>
    <w:rsid w:val="00DE7F50"/>
    <w:rsid w:val="00DF72C5"/>
    <w:rsid w:val="00E2683D"/>
    <w:rsid w:val="00E27A27"/>
    <w:rsid w:val="00E36BF0"/>
    <w:rsid w:val="00E54D85"/>
    <w:rsid w:val="00E5731E"/>
    <w:rsid w:val="00E63264"/>
    <w:rsid w:val="00E71ED9"/>
    <w:rsid w:val="00E87786"/>
    <w:rsid w:val="00E95ADC"/>
    <w:rsid w:val="00E95C3A"/>
    <w:rsid w:val="00EA0629"/>
    <w:rsid w:val="00EA1366"/>
    <w:rsid w:val="00EA2242"/>
    <w:rsid w:val="00EC2366"/>
    <w:rsid w:val="00ED7E20"/>
    <w:rsid w:val="00EE009C"/>
    <w:rsid w:val="00EE0565"/>
    <w:rsid w:val="00EE28AB"/>
    <w:rsid w:val="00EE4C57"/>
    <w:rsid w:val="00EE5A14"/>
    <w:rsid w:val="00EE5AB3"/>
    <w:rsid w:val="00EF1C52"/>
    <w:rsid w:val="00F1115B"/>
    <w:rsid w:val="00F127D6"/>
    <w:rsid w:val="00F13F2A"/>
    <w:rsid w:val="00F3039A"/>
    <w:rsid w:val="00F315B1"/>
    <w:rsid w:val="00F31A70"/>
    <w:rsid w:val="00F3386F"/>
    <w:rsid w:val="00F33C5D"/>
    <w:rsid w:val="00F35762"/>
    <w:rsid w:val="00F375E6"/>
    <w:rsid w:val="00F421DF"/>
    <w:rsid w:val="00F43983"/>
    <w:rsid w:val="00F47558"/>
    <w:rsid w:val="00F476D3"/>
    <w:rsid w:val="00F547AB"/>
    <w:rsid w:val="00F5687A"/>
    <w:rsid w:val="00F625D7"/>
    <w:rsid w:val="00F64B00"/>
    <w:rsid w:val="00F70D6F"/>
    <w:rsid w:val="00F71811"/>
    <w:rsid w:val="00F726E9"/>
    <w:rsid w:val="00F774E5"/>
    <w:rsid w:val="00F77E1C"/>
    <w:rsid w:val="00F90277"/>
    <w:rsid w:val="00F95578"/>
    <w:rsid w:val="00FA1674"/>
    <w:rsid w:val="00FA33F0"/>
    <w:rsid w:val="00FA35EB"/>
    <w:rsid w:val="00FA5202"/>
    <w:rsid w:val="00FA57CA"/>
    <w:rsid w:val="00FA6383"/>
    <w:rsid w:val="00FB3325"/>
    <w:rsid w:val="00FB3651"/>
    <w:rsid w:val="00FC58D9"/>
    <w:rsid w:val="00FD0ED8"/>
    <w:rsid w:val="00FD413C"/>
    <w:rsid w:val="00FE1560"/>
    <w:rsid w:val="00FE548E"/>
    <w:rsid w:val="00FE561A"/>
    <w:rsid w:val="00FE5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3C645FD"/>
  <w15:docId w15:val="{E7D2D618-D929-4900-A549-C3EC1A8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paragraph" w:styleId="berschrift8">
    <w:name w:val="heading 8"/>
    <w:basedOn w:val="Standard"/>
    <w:next w:val="Standard"/>
    <w:qFormat/>
    <w:rsid w:val="007B7797"/>
    <w:pPr>
      <w:spacing w:before="240" w:after="60"/>
      <w:outlineLvl w:val="7"/>
    </w:pPr>
    <w:rPr>
      <w:i/>
      <w:iCs/>
      <w:sz w:val="24"/>
      <w:szCs w:val="24"/>
    </w:rPr>
  </w:style>
  <w:style w:type="paragraph" w:styleId="berschrift9">
    <w:name w:val="heading 9"/>
    <w:basedOn w:val="Standard"/>
    <w:next w:val="Standard"/>
    <w:qFormat/>
    <w:rsid w:val="00BE2D7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0628ED"/>
    <w:pPr>
      <w:jc w:val="both"/>
    </w:pPr>
    <w:rPr>
      <w:rFonts w:ascii="Arial" w:hAnsi="Arial" w:cs="Arial"/>
      <w:sz w:val="18"/>
    </w:rPr>
  </w:style>
  <w:style w:type="paragraph" w:customStyle="1" w:styleId="aaadejongAufzStrich">
    <w:name w:val="aaa_dejong_Aufz_Strich"/>
    <w:basedOn w:val="Standard"/>
    <w:autoRedefine/>
    <w:rsid w:val="00EE4C57"/>
    <w:pPr>
      <w:widowControl/>
      <w:tabs>
        <w:tab w:val="left" w:pos="709"/>
      </w:tabs>
      <w:jc w:val="both"/>
    </w:pPr>
    <w:rPr>
      <w:rFonts w:ascii="Arial" w:hAnsi="Arial" w:cs="Arial"/>
      <w:b/>
      <w:color w:val="000000"/>
      <w:sz w:val="18"/>
      <w:szCs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character" w:customStyle="1" w:styleId="Max">
    <w:name w:val="Max."/>
    <w:rsid w:val="0047230D"/>
    <w:rPr>
      <w:b/>
    </w:rPr>
  </w:style>
  <w:style w:type="paragraph" w:customStyle="1" w:styleId="BMJStandard15Zeilen">
    <w:name w:val="BMJStandard1.5Zeilen"/>
    <w:basedOn w:val="Standard"/>
    <w:rsid w:val="0047230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styleId="Dokumentstruktur">
    <w:name w:val="Document Map"/>
    <w:basedOn w:val="Standard"/>
    <w:semiHidden/>
    <w:rsid w:val="003750BF"/>
    <w:pPr>
      <w:shd w:val="clear" w:color="auto" w:fill="000080"/>
    </w:pPr>
    <w:rPr>
      <w:rFonts w:ascii="Tahoma" w:hAnsi="Tahoma" w:cs="Tahoma"/>
    </w:rPr>
  </w:style>
  <w:style w:type="character" w:styleId="Kommentarzeichen">
    <w:name w:val="annotation reference"/>
    <w:basedOn w:val="Absatz-Standardschriftart"/>
    <w:rsid w:val="00D70A75"/>
    <w:rPr>
      <w:sz w:val="16"/>
      <w:szCs w:val="16"/>
    </w:rPr>
  </w:style>
  <w:style w:type="paragraph" w:styleId="Kommentartext">
    <w:name w:val="annotation text"/>
    <w:basedOn w:val="Standard"/>
    <w:link w:val="KommentartextZchn"/>
    <w:rsid w:val="00D70A75"/>
  </w:style>
  <w:style w:type="character" w:customStyle="1" w:styleId="KommentartextZchn">
    <w:name w:val="Kommentartext Zchn"/>
    <w:basedOn w:val="Absatz-Standardschriftart"/>
    <w:link w:val="Kommentartext"/>
    <w:rsid w:val="00D70A75"/>
  </w:style>
  <w:style w:type="paragraph" w:styleId="Kommentarthema">
    <w:name w:val="annotation subject"/>
    <w:basedOn w:val="Kommentartext"/>
    <w:next w:val="Kommentartext"/>
    <w:link w:val="KommentarthemaZchn"/>
    <w:rsid w:val="00D70A75"/>
    <w:rPr>
      <w:b/>
      <w:bCs/>
    </w:rPr>
  </w:style>
  <w:style w:type="character" w:customStyle="1" w:styleId="KommentarthemaZchn">
    <w:name w:val="Kommentarthema Zchn"/>
    <w:basedOn w:val="KommentartextZchn"/>
    <w:link w:val="Kommentarthema"/>
    <w:rsid w:val="00D70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8D7F-6D4F-407A-990A-2C90F6DC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creator>GDV</dc:creator>
  <cp:lastModifiedBy>Kupfer, Björn</cp:lastModifiedBy>
  <cp:revision>6</cp:revision>
  <cp:lastPrinted>2022-07-06T08:35:00Z</cp:lastPrinted>
  <dcterms:created xsi:type="dcterms:W3CDTF">2017-11-14T07:37:00Z</dcterms:created>
  <dcterms:modified xsi:type="dcterms:W3CDTF">2022-08-01T14:21:00Z</dcterms:modified>
</cp:coreProperties>
</file>