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7BD4" w14:textId="77777777" w:rsidR="00736635" w:rsidRPr="000F39D2" w:rsidRDefault="00736635" w:rsidP="00AB4F73">
      <w:pPr>
        <w:ind w:left="0"/>
        <w:rPr>
          <w:rFonts w:ascii="Arial" w:hAnsi="Arial" w:cs="Arial"/>
        </w:rPr>
      </w:pPr>
    </w:p>
    <w:p w14:paraId="4330B868" w14:textId="687F65CA" w:rsidR="00571BF3" w:rsidRPr="000F39D2" w:rsidRDefault="008A4AD5" w:rsidP="00571BF3">
      <w:pPr>
        <w:pStyle w:val="Titel"/>
        <w:ind w:left="0"/>
        <w:rPr>
          <w:rFonts w:ascii="Arial" w:hAnsi="Arial" w:cs="Arial"/>
          <w:sz w:val="28"/>
          <w:szCs w:val="28"/>
        </w:rPr>
      </w:pPr>
      <w:r w:rsidRPr="000F39D2">
        <w:rPr>
          <w:rFonts w:ascii="Arial" w:hAnsi="Arial" w:cs="Arial"/>
          <w:sz w:val="28"/>
          <w:szCs w:val="28"/>
        </w:rPr>
        <w:t xml:space="preserve">Klausel für den </w:t>
      </w:r>
      <w:r w:rsidR="00FF6F6C" w:rsidRPr="000F39D2">
        <w:rPr>
          <w:rFonts w:ascii="Arial" w:hAnsi="Arial" w:cs="Arial"/>
          <w:sz w:val="28"/>
          <w:szCs w:val="28"/>
        </w:rPr>
        <w:t>Ausschluss</w:t>
      </w:r>
      <w:r w:rsidR="00571BF3" w:rsidRPr="000F39D2">
        <w:rPr>
          <w:rFonts w:ascii="Arial" w:hAnsi="Arial" w:cs="Arial"/>
          <w:sz w:val="28"/>
          <w:szCs w:val="28"/>
        </w:rPr>
        <w:t xml:space="preserve"> von</w:t>
      </w:r>
      <w:r w:rsidR="006471DC" w:rsidRPr="000F39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471DC" w:rsidRPr="000F39D2">
        <w:rPr>
          <w:rFonts w:ascii="Arial" w:hAnsi="Arial" w:cs="Arial"/>
          <w:sz w:val="28"/>
          <w:szCs w:val="28"/>
        </w:rPr>
        <w:t>Cyber</w:t>
      </w:r>
      <w:r w:rsidR="00571BF3" w:rsidRPr="000F39D2">
        <w:rPr>
          <w:rFonts w:ascii="Arial" w:hAnsi="Arial" w:cs="Arial"/>
          <w:sz w:val="28"/>
          <w:szCs w:val="28"/>
        </w:rPr>
        <w:t>-</w:t>
      </w:r>
      <w:proofErr w:type="spellEnd"/>
      <w:r w:rsidR="00571BF3" w:rsidRPr="000F39D2">
        <w:rPr>
          <w:rFonts w:ascii="Arial" w:hAnsi="Arial" w:cs="Arial"/>
          <w:sz w:val="28"/>
          <w:szCs w:val="28"/>
        </w:rPr>
        <w:t xml:space="preserve"> und</w:t>
      </w:r>
      <w:r w:rsidR="006471DC" w:rsidRPr="000F39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F6F6C" w:rsidRPr="000F39D2">
        <w:rPr>
          <w:rFonts w:ascii="Arial" w:hAnsi="Arial" w:cs="Arial"/>
          <w:sz w:val="28"/>
          <w:szCs w:val="28"/>
        </w:rPr>
        <w:t>Blackout</w:t>
      </w:r>
      <w:r w:rsidRPr="000F39D2">
        <w:rPr>
          <w:rFonts w:ascii="Arial" w:hAnsi="Arial" w:cs="Arial"/>
          <w:sz w:val="28"/>
          <w:szCs w:val="28"/>
        </w:rPr>
        <w:t>schäden</w:t>
      </w:r>
      <w:proofErr w:type="spellEnd"/>
    </w:p>
    <w:p w14:paraId="7AD3E028" w14:textId="600F4653" w:rsidR="00571BF3" w:rsidRPr="000F39D2" w:rsidRDefault="00571BF3" w:rsidP="00571BF3">
      <w:pPr>
        <w:pStyle w:val="Titel"/>
        <w:ind w:left="0"/>
        <w:rPr>
          <w:rFonts w:ascii="Arial" w:hAnsi="Arial" w:cs="Arial"/>
          <w:sz w:val="28"/>
          <w:szCs w:val="28"/>
        </w:rPr>
      </w:pPr>
      <w:r w:rsidRPr="000F39D2">
        <w:rPr>
          <w:rFonts w:ascii="Arial" w:hAnsi="Arial" w:cs="Arial"/>
          <w:sz w:val="28"/>
          <w:szCs w:val="28"/>
        </w:rPr>
        <w:t xml:space="preserve">sowie den </w:t>
      </w:r>
      <w:r w:rsidR="0055640D" w:rsidRPr="000F39D2">
        <w:rPr>
          <w:rFonts w:ascii="Arial" w:hAnsi="Arial" w:cs="Arial"/>
          <w:sz w:val="28"/>
          <w:szCs w:val="28"/>
        </w:rPr>
        <w:t xml:space="preserve">optionalen </w:t>
      </w:r>
      <w:r w:rsidRPr="000F39D2">
        <w:rPr>
          <w:rFonts w:ascii="Arial" w:hAnsi="Arial" w:cs="Arial"/>
          <w:sz w:val="28"/>
          <w:szCs w:val="28"/>
        </w:rPr>
        <w:t>Wiedereinschluss von Cyberschäden</w:t>
      </w:r>
    </w:p>
    <w:p w14:paraId="140E06EB" w14:textId="77777777" w:rsidR="00DE60B1" w:rsidRPr="000F39D2" w:rsidRDefault="008A4AD5" w:rsidP="006471DC">
      <w:pPr>
        <w:pStyle w:val="Titel"/>
        <w:ind w:left="0"/>
        <w:rPr>
          <w:rFonts w:ascii="Arial" w:hAnsi="Arial" w:cs="Arial"/>
          <w:sz w:val="28"/>
          <w:szCs w:val="28"/>
        </w:rPr>
      </w:pPr>
      <w:r w:rsidRPr="000F39D2">
        <w:rPr>
          <w:rFonts w:ascii="Arial" w:hAnsi="Arial" w:cs="Arial"/>
          <w:sz w:val="28"/>
          <w:szCs w:val="28"/>
        </w:rPr>
        <w:t>in der Transportversicherung</w:t>
      </w:r>
    </w:p>
    <w:p w14:paraId="792C298D" w14:textId="77777777" w:rsidR="006471DC" w:rsidRPr="000F39D2" w:rsidRDefault="006471DC" w:rsidP="006471DC">
      <w:pPr>
        <w:ind w:left="0"/>
        <w:jc w:val="center"/>
        <w:rPr>
          <w:rFonts w:ascii="Arial" w:hAnsi="Arial" w:cs="Arial"/>
        </w:rPr>
      </w:pPr>
      <w:r w:rsidRPr="000F39D2">
        <w:rPr>
          <w:rFonts w:ascii="Arial" w:hAnsi="Arial" w:cs="Arial"/>
        </w:rPr>
        <w:t>(</w:t>
      </w:r>
      <w:proofErr w:type="spellStart"/>
      <w:r w:rsidRPr="000F39D2">
        <w:rPr>
          <w:rFonts w:ascii="Arial" w:hAnsi="Arial" w:cs="Arial"/>
        </w:rPr>
        <w:t>Cyber-</w:t>
      </w:r>
      <w:proofErr w:type="spellEnd"/>
      <w:r w:rsidRPr="000F39D2">
        <w:rPr>
          <w:rFonts w:ascii="Arial" w:hAnsi="Arial" w:cs="Arial"/>
        </w:rPr>
        <w:t>/Blackout-Klausel)</w:t>
      </w:r>
    </w:p>
    <w:p w14:paraId="2E4311AA" w14:textId="77777777" w:rsidR="00FF6F6C" w:rsidRPr="000F39D2" w:rsidRDefault="00FF6F6C" w:rsidP="006471DC">
      <w:pPr>
        <w:ind w:left="0"/>
        <w:rPr>
          <w:rFonts w:ascii="Arial" w:hAnsi="Arial" w:cs="Arial"/>
        </w:rPr>
      </w:pPr>
    </w:p>
    <w:p w14:paraId="5E0981F2" w14:textId="77777777" w:rsidR="00FF6F6C" w:rsidRPr="000F39D2" w:rsidRDefault="00FF6F6C" w:rsidP="006471DC">
      <w:pPr>
        <w:ind w:left="0"/>
        <w:jc w:val="center"/>
        <w:rPr>
          <w:rFonts w:ascii="Arial" w:hAnsi="Arial" w:cs="Arial"/>
        </w:rPr>
      </w:pPr>
      <w:r w:rsidRPr="000F39D2">
        <w:rPr>
          <w:rFonts w:ascii="Arial" w:hAnsi="Arial" w:cs="Arial"/>
        </w:rPr>
        <w:t>Musterbedingungen des GDV</w:t>
      </w:r>
    </w:p>
    <w:p w14:paraId="400A1667" w14:textId="77777777" w:rsidR="007C0B57" w:rsidRPr="000F39D2" w:rsidRDefault="007C0B57" w:rsidP="006471DC">
      <w:pPr>
        <w:ind w:left="0"/>
        <w:rPr>
          <w:rFonts w:ascii="Arial" w:hAnsi="Arial" w:cs="Arial"/>
        </w:rPr>
      </w:pPr>
    </w:p>
    <w:p w14:paraId="5F55EC08" w14:textId="64338C83" w:rsidR="006471DC" w:rsidRPr="000F39D2" w:rsidRDefault="00BB32AC" w:rsidP="00BB32AC">
      <w:pPr>
        <w:pStyle w:val="berschrift1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hAnsi="Arial" w:cs="Arial"/>
        </w:rPr>
        <w:t>1</w:t>
      </w:r>
      <w:r w:rsidRPr="000F39D2">
        <w:rPr>
          <w:rFonts w:ascii="Arial" w:hAnsi="Arial" w:cs="Arial"/>
        </w:rPr>
        <w:tab/>
      </w:r>
      <w:r w:rsidR="006471DC" w:rsidRPr="000F39D2">
        <w:rPr>
          <w:rFonts w:ascii="Arial" w:hAnsi="Arial" w:cs="Arial"/>
        </w:rPr>
        <w:t>Ausschluss Cyber</w:t>
      </w:r>
      <w:r w:rsidR="00603CC0" w:rsidRPr="000F39D2">
        <w:rPr>
          <w:rFonts w:ascii="Arial" w:hAnsi="Arial" w:cs="Arial"/>
        </w:rPr>
        <w:t>schäden</w:t>
      </w:r>
    </w:p>
    <w:p w14:paraId="0A7F012A" w14:textId="4E6BDE43" w:rsidR="00C9640B" w:rsidRPr="000F39D2" w:rsidRDefault="001D49B0" w:rsidP="001D49B0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  <w:i/>
        </w:rPr>
      </w:pPr>
      <w:r w:rsidRPr="000F39D2">
        <w:rPr>
          <w:rFonts w:ascii="Arial" w:hAnsi="Arial" w:cs="Arial"/>
        </w:rPr>
        <w:t>1.1</w:t>
      </w:r>
      <w:r w:rsidRPr="000F39D2">
        <w:rPr>
          <w:rFonts w:ascii="Arial" w:hAnsi="Arial" w:cs="Arial"/>
        </w:rPr>
        <w:tab/>
      </w:r>
      <w:r w:rsidR="00C9640B" w:rsidRPr="000F39D2">
        <w:rPr>
          <w:rFonts w:ascii="Arial" w:hAnsi="Arial" w:cs="Arial"/>
        </w:rPr>
        <w:t>Soweit nicht im Wege der Individualvereinbarung anders vereinbart, gelten die nachfolgenden Ziffern 1.2 bis 1.4 für den gesamten Versicherungsvertrag</w:t>
      </w:r>
      <w:r w:rsidRPr="000F39D2">
        <w:rPr>
          <w:rFonts w:ascii="Arial" w:hAnsi="Arial" w:cs="Arial"/>
        </w:rPr>
        <w:t xml:space="preserve"> einschließlich aller Deckungserweiterungen. </w:t>
      </w:r>
    </w:p>
    <w:p w14:paraId="3AE2CE9C" w14:textId="6A444650" w:rsidR="0045604E" w:rsidRPr="000F39D2" w:rsidRDefault="00C9640B" w:rsidP="00BB32AC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hAnsi="Arial" w:cs="Arial"/>
        </w:rPr>
        <w:t>1.2</w:t>
      </w:r>
      <w:r w:rsidRPr="000F39D2">
        <w:rPr>
          <w:rFonts w:ascii="Arial" w:hAnsi="Arial" w:cs="Arial"/>
        </w:rPr>
        <w:tab/>
        <w:t xml:space="preserve">Vom </w:t>
      </w:r>
      <w:r w:rsidR="009F186E" w:rsidRPr="000F39D2">
        <w:rPr>
          <w:rFonts w:ascii="Arial" w:hAnsi="Arial" w:cs="Arial"/>
        </w:rPr>
        <w:t>Versicherungsschutz a</w:t>
      </w:r>
      <w:r w:rsidR="0022283A" w:rsidRPr="000F39D2">
        <w:rPr>
          <w:rFonts w:ascii="Arial" w:hAnsi="Arial" w:cs="Arial"/>
        </w:rPr>
        <w:t>usgeschlossen</w:t>
      </w:r>
      <w:r w:rsidR="009F186E" w:rsidRPr="000F39D2">
        <w:rPr>
          <w:rFonts w:ascii="Arial" w:hAnsi="Arial" w:cs="Arial"/>
        </w:rPr>
        <w:t xml:space="preserve"> </w:t>
      </w:r>
      <w:r w:rsidR="004D669D" w:rsidRPr="000F39D2">
        <w:rPr>
          <w:rFonts w:ascii="Arial" w:hAnsi="Arial" w:cs="Arial"/>
        </w:rPr>
        <w:t xml:space="preserve">sind </w:t>
      </w:r>
      <w:r w:rsidR="009F186E" w:rsidRPr="000F39D2">
        <w:rPr>
          <w:rFonts w:ascii="Arial" w:hAnsi="Arial" w:cs="Arial"/>
        </w:rPr>
        <w:t>ohne Rücksicht auf mitwirkende Ursachen</w:t>
      </w:r>
      <w:r w:rsidR="0022283A" w:rsidRPr="000F39D2">
        <w:rPr>
          <w:rFonts w:ascii="Arial" w:hAnsi="Arial" w:cs="Arial"/>
        </w:rPr>
        <w:t xml:space="preserve"> Sach</w:t>
      </w:r>
      <w:r w:rsidR="0010003B" w:rsidRPr="000F39D2">
        <w:rPr>
          <w:rFonts w:ascii="Arial" w:hAnsi="Arial" w:cs="Arial"/>
        </w:rPr>
        <w:t>schäden,</w:t>
      </w:r>
      <w:r w:rsidR="0022283A" w:rsidRPr="000F39D2">
        <w:rPr>
          <w:rFonts w:ascii="Arial" w:hAnsi="Arial" w:cs="Arial"/>
        </w:rPr>
        <w:t xml:space="preserve"> Vermögensschäden, Haftung, Kosten</w:t>
      </w:r>
      <w:r w:rsidR="001B61D8" w:rsidRPr="000F39D2">
        <w:rPr>
          <w:rFonts w:ascii="Arial" w:hAnsi="Arial" w:cs="Arial"/>
        </w:rPr>
        <w:t>, Aufwendungen</w:t>
      </w:r>
      <w:r w:rsidR="0022283A" w:rsidRPr="000F39D2">
        <w:rPr>
          <w:rFonts w:ascii="Arial" w:hAnsi="Arial" w:cs="Arial"/>
        </w:rPr>
        <w:t xml:space="preserve"> </w:t>
      </w:r>
      <w:r w:rsidR="00CE6C0B" w:rsidRPr="000F39D2">
        <w:rPr>
          <w:rFonts w:ascii="Arial" w:hAnsi="Arial" w:cs="Arial"/>
        </w:rPr>
        <w:t>oder</w:t>
      </w:r>
      <w:r w:rsidR="0022283A" w:rsidRPr="000F39D2">
        <w:rPr>
          <w:rFonts w:ascii="Arial" w:hAnsi="Arial" w:cs="Arial"/>
        </w:rPr>
        <w:t xml:space="preserve"> mittelbare Schäden </w:t>
      </w:r>
      <w:r w:rsidR="001B61D8" w:rsidRPr="000F39D2">
        <w:rPr>
          <w:rFonts w:ascii="Arial" w:hAnsi="Arial" w:cs="Arial"/>
        </w:rPr>
        <w:t>soweit sie direkt oder indirekt durch eine Informationssicherheitsverletzung verursacht wurden, aus dieser entstanden sind oder diese beigetragen hat</w:t>
      </w:r>
      <w:r w:rsidR="00963C17" w:rsidRPr="000F39D2">
        <w:rPr>
          <w:rFonts w:ascii="Arial" w:hAnsi="Arial" w:cs="Arial"/>
        </w:rPr>
        <w:t>.</w:t>
      </w:r>
    </w:p>
    <w:p w14:paraId="7E4CEA3C" w14:textId="64333C6F" w:rsidR="0022283A" w:rsidRPr="000F39D2" w:rsidRDefault="00BB32AC" w:rsidP="00BB32AC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hAnsi="Arial" w:cs="Arial"/>
        </w:rPr>
        <w:t>1.</w:t>
      </w:r>
      <w:r w:rsidR="00C9640B" w:rsidRPr="000F39D2">
        <w:rPr>
          <w:rFonts w:ascii="Arial" w:hAnsi="Arial" w:cs="Arial"/>
        </w:rPr>
        <w:t>3</w:t>
      </w:r>
      <w:r w:rsidRPr="000F39D2">
        <w:rPr>
          <w:rFonts w:ascii="Arial" w:hAnsi="Arial" w:cs="Arial"/>
        </w:rPr>
        <w:tab/>
      </w:r>
      <w:r w:rsidR="0022283A" w:rsidRPr="000F39D2">
        <w:rPr>
          <w:rFonts w:ascii="Arial" w:hAnsi="Arial" w:cs="Arial"/>
        </w:rPr>
        <w:t>Informationssicherheitsverletzung ist eine Beeinträchtigung der</w:t>
      </w:r>
    </w:p>
    <w:p w14:paraId="67C2FF3F" w14:textId="77777777" w:rsidR="0022283A" w:rsidRPr="000F39D2" w:rsidRDefault="0022283A" w:rsidP="00F17213">
      <w:pPr>
        <w:pStyle w:val="Listenabsatz"/>
        <w:numPr>
          <w:ilvl w:val="0"/>
          <w:numId w:val="11"/>
        </w:numPr>
        <w:spacing w:before="120"/>
        <w:ind w:left="1208" w:hanging="357"/>
        <w:rPr>
          <w:rFonts w:ascii="Arial" w:hAnsi="Arial" w:cs="Arial"/>
        </w:rPr>
      </w:pPr>
      <w:r w:rsidRPr="000F39D2">
        <w:rPr>
          <w:rFonts w:ascii="Arial" w:hAnsi="Arial" w:cs="Arial"/>
        </w:rPr>
        <w:t>Verfügbarkeit</w:t>
      </w:r>
    </w:p>
    <w:p w14:paraId="3EC7130A" w14:textId="77777777" w:rsidR="0022283A" w:rsidRPr="000F39D2" w:rsidRDefault="0022283A" w:rsidP="00FE2CCC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0F39D2">
        <w:rPr>
          <w:rFonts w:ascii="Arial" w:hAnsi="Arial" w:cs="Arial"/>
        </w:rPr>
        <w:t xml:space="preserve">Integrität </w:t>
      </w:r>
    </w:p>
    <w:p w14:paraId="763249D6" w14:textId="77777777" w:rsidR="0022283A" w:rsidRPr="000F39D2" w:rsidRDefault="0022283A" w:rsidP="00FE2CCC">
      <w:pPr>
        <w:pStyle w:val="Listenabsatz"/>
        <w:numPr>
          <w:ilvl w:val="0"/>
          <w:numId w:val="11"/>
        </w:numPr>
        <w:rPr>
          <w:rFonts w:ascii="Arial" w:hAnsi="Arial" w:cs="Arial"/>
        </w:rPr>
      </w:pPr>
      <w:r w:rsidRPr="000F39D2">
        <w:rPr>
          <w:rFonts w:ascii="Arial" w:hAnsi="Arial" w:cs="Arial"/>
        </w:rPr>
        <w:t>Vertraulichkeit</w:t>
      </w:r>
    </w:p>
    <w:p w14:paraId="463A102C" w14:textId="7CB83233" w:rsidR="00C93775" w:rsidRPr="000F39D2" w:rsidRDefault="0022283A" w:rsidP="00F17213">
      <w:pPr>
        <w:spacing w:before="120"/>
        <w:rPr>
          <w:rFonts w:ascii="Arial" w:hAnsi="Arial" w:cs="Arial"/>
        </w:rPr>
      </w:pPr>
      <w:r w:rsidRPr="000F39D2">
        <w:rPr>
          <w:rFonts w:ascii="Arial" w:hAnsi="Arial" w:cs="Arial"/>
        </w:rPr>
        <w:t xml:space="preserve">von elektronischen Daten oder von informationsverarbeitenden Systemen, die der </w:t>
      </w:r>
      <w:r w:rsidR="009F186E" w:rsidRPr="000F39D2">
        <w:rPr>
          <w:rFonts w:ascii="Arial" w:hAnsi="Arial" w:cs="Arial"/>
        </w:rPr>
        <w:t>Versicherungsnehmer</w:t>
      </w:r>
      <w:r w:rsidRPr="000F39D2">
        <w:rPr>
          <w:rFonts w:ascii="Arial" w:hAnsi="Arial" w:cs="Arial"/>
        </w:rPr>
        <w:t xml:space="preserve"> </w:t>
      </w:r>
      <w:r w:rsidR="00F07B9F" w:rsidRPr="000F39D2">
        <w:rPr>
          <w:rFonts w:ascii="Arial" w:hAnsi="Arial" w:cs="Arial"/>
        </w:rPr>
        <w:t xml:space="preserve">bzw. der Versicherte </w:t>
      </w:r>
      <w:r w:rsidRPr="000F39D2">
        <w:rPr>
          <w:rFonts w:ascii="Arial" w:hAnsi="Arial" w:cs="Arial"/>
        </w:rPr>
        <w:t>zur Ausübung seiner betrieblichen oder beruflichen Tätigkeit nutzt</w:t>
      </w:r>
      <w:r w:rsidR="00402725" w:rsidRPr="000F39D2">
        <w:rPr>
          <w:rFonts w:ascii="Arial" w:hAnsi="Arial" w:cs="Arial"/>
        </w:rPr>
        <w:t>,</w:t>
      </w:r>
      <w:r w:rsidR="00A36D43" w:rsidRPr="000F39D2">
        <w:rPr>
          <w:rFonts w:ascii="Arial" w:hAnsi="Arial" w:cs="Arial"/>
        </w:rPr>
        <w:t xml:space="preserve"> oder die </w:t>
      </w:r>
      <w:r w:rsidR="00402725" w:rsidRPr="000F39D2">
        <w:rPr>
          <w:rFonts w:ascii="Arial" w:hAnsi="Arial" w:cs="Arial"/>
        </w:rPr>
        <w:t xml:space="preserve">von </w:t>
      </w:r>
      <w:r w:rsidR="00A36D43" w:rsidRPr="000F39D2">
        <w:rPr>
          <w:rFonts w:ascii="Arial" w:hAnsi="Arial" w:cs="Arial"/>
        </w:rPr>
        <w:t>in seinem rechtlichen oder wirtschaftlichen Interesse</w:t>
      </w:r>
      <w:r w:rsidR="00402725" w:rsidRPr="000F39D2">
        <w:rPr>
          <w:rFonts w:ascii="Arial" w:hAnsi="Arial" w:cs="Arial"/>
        </w:rPr>
        <w:t xml:space="preserve"> eingeschalteten Dritten, insbesondere Verkehrsträger, Subunternehmer oder sonstige Erfüllungsgehilfen, genutzt werden</w:t>
      </w:r>
      <w:r w:rsidR="005F05C5" w:rsidRPr="000F39D2">
        <w:rPr>
          <w:rFonts w:ascii="Arial" w:hAnsi="Arial" w:cs="Arial"/>
        </w:rPr>
        <w:t>. Dabei ist es</w:t>
      </w:r>
      <w:r w:rsidR="00526C29" w:rsidRPr="000F39D2">
        <w:rPr>
          <w:rFonts w:ascii="Arial" w:hAnsi="Arial" w:cs="Arial"/>
        </w:rPr>
        <w:t xml:space="preserve"> unerheblich, ob sich die elektronischen Daten oder die informationsverarbeitenden Systeme </w:t>
      </w:r>
      <w:r w:rsidR="00402725" w:rsidRPr="000F39D2">
        <w:rPr>
          <w:rFonts w:ascii="Arial" w:hAnsi="Arial" w:cs="Arial"/>
        </w:rPr>
        <w:t>im</w:t>
      </w:r>
      <w:r w:rsidR="00526C29" w:rsidRPr="000F39D2">
        <w:rPr>
          <w:rFonts w:ascii="Arial" w:hAnsi="Arial" w:cs="Arial"/>
        </w:rPr>
        <w:t xml:space="preserve"> </w:t>
      </w:r>
      <w:r w:rsidR="004D669D" w:rsidRPr="000F39D2">
        <w:rPr>
          <w:rFonts w:ascii="Arial" w:hAnsi="Arial" w:cs="Arial"/>
        </w:rPr>
        <w:t xml:space="preserve">unmittelbaren </w:t>
      </w:r>
      <w:r w:rsidR="00526C29" w:rsidRPr="000F39D2">
        <w:rPr>
          <w:rFonts w:ascii="Arial" w:hAnsi="Arial" w:cs="Arial"/>
        </w:rPr>
        <w:t xml:space="preserve">Verfügungsbereich </w:t>
      </w:r>
      <w:r w:rsidR="00402725" w:rsidRPr="000F39D2">
        <w:rPr>
          <w:rFonts w:ascii="Arial" w:hAnsi="Arial" w:cs="Arial"/>
        </w:rPr>
        <w:t xml:space="preserve">des Versicherungsnehmers </w:t>
      </w:r>
      <w:r w:rsidR="00F07B9F" w:rsidRPr="000F39D2">
        <w:rPr>
          <w:rFonts w:ascii="Arial" w:hAnsi="Arial" w:cs="Arial"/>
        </w:rPr>
        <w:t xml:space="preserve">bzw. des Versicherten </w:t>
      </w:r>
      <w:r w:rsidR="00402725" w:rsidRPr="000F39D2">
        <w:rPr>
          <w:rFonts w:ascii="Arial" w:hAnsi="Arial" w:cs="Arial"/>
        </w:rPr>
        <w:t xml:space="preserve">oder des </w:t>
      </w:r>
      <w:r w:rsidR="00F07B9F" w:rsidRPr="000F39D2">
        <w:rPr>
          <w:rFonts w:ascii="Arial" w:hAnsi="Arial" w:cs="Arial"/>
        </w:rPr>
        <w:t xml:space="preserve">eingeschalteten </w:t>
      </w:r>
      <w:r w:rsidR="00402725" w:rsidRPr="000F39D2">
        <w:rPr>
          <w:rFonts w:ascii="Arial" w:hAnsi="Arial" w:cs="Arial"/>
        </w:rPr>
        <w:t xml:space="preserve">Dritten </w:t>
      </w:r>
      <w:r w:rsidR="00526C29" w:rsidRPr="000F39D2">
        <w:rPr>
          <w:rFonts w:ascii="Arial" w:hAnsi="Arial" w:cs="Arial"/>
        </w:rPr>
        <w:t xml:space="preserve">befinden oder </w:t>
      </w:r>
      <w:r w:rsidR="00402725" w:rsidRPr="000F39D2">
        <w:rPr>
          <w:rFonts w:ascii="Arial" w:hAnsi="Arial" w:cs="Arial"/>
        </w:rPr>
        <w:t xml:space="preserve">sie </w:t>
      </w:r>
      <w:r w:rsidR="00526C29" w:rsidRPr="000F39D2">
        <w:rPr>
          <w:rFonts w:ascii="Arial" w:hAnsi="Arial" w:cs="Arial"/>
        </w:rPr>
        <w:t>sich eines externen Dienstleisters bedien</w:t>
      </w:r>
      <w:r w:rsidR="00402725" w:rsidRPr="000F39D2">
        <w:rPr>
          <w:rFonts w:ascii="Arial" w:hAnsi="Arial" w:cs="Arial"/>
        </w:rPr>
        <w:t>en</w:t>
      </w:r>
      <w:r w:rsidR="00526C29" w:rsidRPr="000F39D2">
        <w:rPr>
          <w:rFonts w:ascii="Arial" w:hAnsi="Arial" w:cs="Arial"/>
        </w:rPr>
        <w:t xml:space="preserve">. </w:t>
      </w:r>
    </w:p>
    <w:p w14:paraId="7D241DB4" w14:textId="62665696" w:rsidR="001B61D8" w:rsidRPr="000F39D2" w:rsidRDefault="00BB32AC" w:rsidP="00BB32AC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hAnsi="Arial" w:cs="Arial"/>
        </w:rPr>
        <w:t>1.</w:t>
      </w:r>
      <w:r w:rsidR="00C9640B" w:rsidRPr="000F39D2">
        <w:rPr>
          <w:rFonts w:ascii="Arial" w:hAnsi="Arial" w:cs="Arial"/>
        </w:rPr>
        <w:t>4</w:t>
      </w:r>
      <w:r w:rsidRPr="000F39D2">
        <w:rPr>
          <w:rFonts w:ascii="Arial" w:hAnsi="Arial" w:cs="Arial"/>
        </w:rPr>
        <w:tab/>
      </w:r>
      <w:r w:rsidR="001B61D8" w:rsidRPr="000F39D2">
        <w:rPr>
          <w:rFonts w:ascii="Arial" w:hAnsi="Arial" w:cs="Arial"/>
        </w:rPr>
        <w:t>Der Begriff „elektronische Daten“ umfasst auch Software und Programme.</w:t>
      </w:r>
    </w:p>
    <w:p w14:paraId="55B0ACE3" w14:textId="72675C6F" w:rsidR="00B42BCC" w:rsidRPr="000F39D2" w:rsidRDefault="00BB32AC" w:rsidP="001D49B0">
      <w:pPr>
        <w:pStyle w:val="berschrift1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hAnsi="Arial" w:cs="Arial"/>
        </w:rPr>
        <w:t>2</w:t>
      </w:r>
      <w:r w:rsidRPr="000F39D2">
        <w:rPr>
          <w:rFonts w:ascii="Arial" w:hAnsi="Arial" w:cs="Arial"/>
        </w:rPr>
        <w:tab/>
      </w:r>
      <w:r w:rsidR="00402169" w:rsidRPr="000F39D2">
        <w:rPr>
          <w:rFonts w:ascii="Arial" w:hAnsi="Arial" w:cs="Arial"/>
        </w:rPr>
        <w:t xml:space="preserve">Ausschluss </w:t>
      </w:r>
      <w:proofErr w:type="spellStart"/>
      <w:r w:rsidR="00402169" w:rsidRPr="000F39D2">
        <w:rPr>
          <w:rFonts w:ascii="Arial" w:hAnsi="Arial" w:cs="Arial"/>
        </w:rPr>
        <w:t>Blackout</w:t>
      </w:r>
      <w:r w:rsidR="00571BF3" w:rsidRPr="000F39D2">
        <w:rPr>
          <w:rFonts w:ascii="Arial" w:hAnsi="Arial" w:cs="Arial"/>
        </w:rPr>
        <w:t>s</w:t>
      </w:r>
      <w:r w:rsidR="00402169" w:rsidRPr="000F39D2">
        <w:rPr>
          <w:rFonts w:ascii="Arial" w:hAnsi="Arial" w:cs="Arial"/>
        </w:rPr>
        <w:t>chäden</w:t>
      </w:r>
      <w:proofErr w:type="spellEnd"/>
    </w:p>
    <w:p w14:paraId="40FAC27E" w14:textId="6F0420A1" w:rsidR="001D49B0" w:rsidRPr="000F39D2" w:rsidRDefault="00B42BCC" w:rsidP="001D49B0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hAnsi="Arial" w:cs="Arial"/>
        </w:rPr>
        <w:t>2.1</w:t>
      </w:r>
      <w:r w:rsidRPr="000F39D2">
        <w:rPr>
          <w:rFonts w:ascii="Arial" w:hAnsi="Arial" w:cs="Arial"/>
        </w:rPr>
        <w:tab/>
        <w:t>Soweit nicht im Wege der Individualvereinbarung anders vereinbart, gilt die nachfolgende Ziffer 2.2 für den gesamten Versicherungsvertrag</w:t>
      </w:r>
      <w:r w:rsidR="001D49B0" w:rsidRPr="000F39D2">
        <w:rPr>
          <w:rFonts w:ascii="Arial" w:hAnsi="Arial" w:cs="Arial"/>
        </w:rPr>
        <w:t xml:space="preserve"> einschließlich aller </w:t>
      </w:r>
      <w:r w:rsidRPr="000F39D2">
        <w:rPr>
          <w:rFonts w:ascii="Arial" w:hAnsi="Arial" w:cs="Arial"/>
        </w:rPr>
        <w:t>Deckungserweiterung</w:t>
      </w:r>
      <w:r w:rsidR="001D49B0" w:rsidRPr="000F39D2">
        <w:rPr>
          <w:rFonts w:ascii="Arial" w:hAnsi="Arial" w:cs="Arial"/>
        </w:rPr>
        <w:t>en</w:t>
      </w:r>
      <w:r w:rsidRPr="000F39D2">
        <w:rPr>
          <w:rFonts w:ascii="Arial" w:hAnsi="Arial" w:cs="Arial"/>
        </w:rPr>
        <w:t>.</w:t>
      </w:r>
    </w:p>
    <w:p w14:paraId="263C099D" w14:textId="6849A439" w:rsidR="00583B61" w:rsidRPr="000F39D2" w:rsidRDefault="00B42BCC" w:rsidP="00583B61">
      <w:pPr>
        <w:spacing w:before="120"/>
        <w:ind w:hanging="851"/>
        <w:rPr>
          <w:rFonts w:ascii="Arial" w:hAnsi="Arial" w:cs="Arial"/>
        </w:rPr>
      </w:pPr>
      <w:r w:rsidRPr="000F39D2">
        <w:rPr>
          <w:rFonts w:ascii="Arial" w:hAnsi="Arial" w:cs="Arial"/>
        </w:rPr>
        <w:t>2.2.</w:t>
      </w:r>
      <w:r w:rsidRPr="000F39D2">
        <w:rPr>
          <w:rFonts w:ascii="Arial" w:hAnsi="Arial" w:cs="Arial"/>
        </w:rPr>
        <w:tab/>
      </w:r>
      <w:r w:rsidR="00402169" w:rsidRPr="000F39D2">
        <w:rPr>
          <w:rFonts w:ascii="Arial" w:hAnsi="Arial" w:cs="Arial"/>
        </w:rPr>
        <w:t xml:space="preserve">Vom Versicherungsschutz stets ausgeschlossen </w:t>
      </w:r>
      <w:r w:rsidR="004D669D" w:rsidRPr="000F39D2">
        <w:rPr>
          <w:rFonts w:ascii="Arial" w:hAnsi="Arial" w:cs="Arial"/>
        </w:rPr>
        <w:t xml:space="preserve">sind </w:t>
      </w:r>
      <w:r w:rsidR="009F186E" w:rsidRPr="000F39D2">
        <w:rPr>
          <w:rFonts w:ascii="Arial" w:hAnsi="Arial" w:cs="Arial"/>
        </w:rPr>
        <w:t xml:space="preserve">ohne Rücksicht auf mitwirkende Ursachen Sachschäden, Vermögensschäden, Haftung, Kosten, Aufwendungen oder mittelbare Schäden </w:t>
      </w:r>
      <w:r w:rsidR="00402169" w:rsidRPr="000F39D2">
        <w:rPr>
          <w:rFonts w:ascii="Arial" w:hAnsi="Arial" w:cs="Arial"/>
        </w:rPr>
        <w:t>eingetreten aufgrund eines zumindest … Stunden andauernden überregionalen Ausfalls von Netzstrukturen, die der Stromversorgung oder Informationsvermittlung, insbesondere Telefon, Internet oder Funk, dienen</w:t>
      </w:r>
      <w:r w:rsidR="00EF1AF8" w:rsidRPr="000F39D2">
        <w:rPr>
          <w:rFonts w:ascii="Arial" w:hAnsi="Arial" w:cs="Arial"/>
        </w:rPr>
        <w:t>.</w:t>
      </w:r>
    </w:p>
    <w:p w14:paraId="5B629D04" w14:textId="182FE5B5" w:rsidR="006471DC" w:rsidRPr="000F39D2" w:rsidRDefault="00BB32AC" w:rsidP="00BB32AC">
      <w:pPr>
        <w:pStyle w:val="berschrift1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hAnsi="Arial" w:cs="Arial"/>
        </w:rPr>
        <w:t>3</w:t>
      </w:r>
      <w:r w:rsidRPr="000F39D2">
        <w:rPr>
          <w:rFonts w:ascii="Arial" w:hAnsi="Arial" w:cs="Arial"/>
        </w:rPr>
        <w:tab/>
      </w:r>
      <w:r w:rsidR="006471DC" w:rsidRPr="000F39D2">
        <w:rPr>
          <w:rFonts w:ascii="Arial" w:hAnsi="Arial" w:cs="Arial"/>
        </w:rPr>
        <w:t>Wiedereinschluss</w:t>
      </w:r>
      <w:r w:rsidR="003D6DD5" w:rsidRPr="000F39D2">
        <w:rPr>
          <w:rFonts w:ascii="Arial" w:hAnsi="Arial" w:cs="Arial"/>
        </w:rPr>
        <w:t xml:space="preserve"> </w:t>
      </w:r>
      <w:r w:rsidR="00603CC0" w:rsidRPr="000F39D2">
        <w:rPr>
          <w:rFonts w:ascii="Arial" w:hAnsi="Arial" w:cs="Arial"/>
        </w:rPr>
        <w:t>Cyberschäden</w:t>
      </w:r>
      <w:r w:rsidR="000C3851" w:rsidRPr="000F39D2">
        <w:rPr>
          <w:rFonts w:ascii="Arial" w:hAnsi="Arial" w:cs="Arial"/>
        </w:rPr>
        <w:t xml:space="preserve"> (sofern vereinbart)</w:t>
      </w:r>
    </w:p>
    <w:p w14:paraId="6DFDB3C9" w14:textId="59A60DDA" w:rsidR="000D4E97" w:rsidRPr="000F39D2" w:rsidRDefault="00584930" w:rsidP="000D4E97">
      <w:pPr>
        <w:rPr>
          <w:rFonts w:ascii="Arial" w:hAnsi="Arial" w:cs="Arial"/>
        </w:rPr>
      </w:pPr>
      <w:r w:rsidRPr="000F39D2">
        <w:rPr>
          <w:rFonts w:ascii="Arial" w:hAnsi="Arial" w:cs="Arial"/>
        </w:rPr>
        <w:t>Die Parteien können vereinbaren</w:t>
      </w:r>
      <w:r w:rsidR="00402169" w:rsidRPr="000F39D2">
        <w:rPr>
          <w:rFonts w:ascii="Arial" w:hAnsi="Arial" w:cs="Arial"/>
        </w:rPr>
        <w:t xml:space="preserve"> wie folgt</w:t>
      </w:r>
      <w:r w:rsidRPr="000F39D2">
        <w:rPr>
          <w:rFonts w:ascii="Arial" w:hAnsi="Arial" w:cs="Arial"/>
        </w:rPr>
        <w:t>:</w:t>
      </w:r>
    </w:p>
    <w:p w14:paraId="712E782B" w14:textId="48E560F7" w:rsidR="00603CC0" w:rsidRPr="000F39D2" w:rsidRDefault="00BB32AC" w:rsidP="00BB32AC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hAnsi="Arial" w:cs="Arial"/>
        </w:rPr>
        <w:t>3.1</w:t>
      </w:r>
      <w:r w:rsidRPr="000F39D2">
        <w:rPr>
          <w:rFonts w:ascii="Arial" w:hAnsi="Arial" w:cs="Arial"/>
        </w:rPr>
        <w:tab/>
      </w:r>
      <w:r w:rsidR="00D81211" w:rsidRPr="000F39D2">
        <w:rPr>
          <w:rFonts w:ascii="Arial" w:hAnsi="Arial" w:cs="Arial"/>
        </w:rPr>
        <w:t>Option</w:t>
      </w:r>
      <w:r w:rsidR="00584930" w:rsidRPr="000F39D2">
        <w:rPr>
          <w:rFonts w:ascii="Arial" w:hAnsi="Arial" w:cs="Arial"/>
        </w:rPr>
        <w:t xml:space="preserve"> 1 (</w:t>
      </w:r>
      <w:r w:rsidR="001A5DAD" w:rsidRPr="000F39D2">
        <w:rPr>
          <w:rFonts w:ascii="Arial" w:hAnsi="Arial" w:cs="Arial"/>
          <w:iCs/>
        </w:rPr>
        <w:t>gilt sofern nicht im Versicherungsvertrag die Geltung von</w:t>
      </w:r>
      <w:r w:rsidR="00584930" w:rsidRPr="000F39D2">
        <w:rPr>
          <w:rFonts w:ascii="Arial" w:hAnsi="Arial" w:cs="Arial"/>
        </w:rPr>
        <w:t xml:space="preserve"> Ziff</w:t>
      </w:r>
      <w:r w:rsidR="001A5DAD" w:rsidRPr="000F39D2">
        <w:rPr>
          <w:rFonts w:ascii="Arial" w:hAnsi="Arial" w:cs="Arial"/>
        </w:rPr>
        <w:t>er</w:t>
      </w:r>
      <w:r w:rsidR="00584930" w:rsidRPr="000F39D2">
        <w:rPr>
          <w:rFonts w:ascii="Arial" w:hAnsi="Arial" w:cs="Arial"/>
        </w:rPr>
        <w:t xml:space="preserve"> </w:t>
      </w:r>
      <w:r w:rsidR="00571BF3" w:rsidRPr="000F39D2">
        <w:rPr>
          <w:rFonts w:ascii="Arial" w:hAnsi="Arial" w:cs="Arial"/>
        </w:rPr>
        <w:t>3</w:t>
      </w:r>
      <w:r w:rsidR="00584930" w:rsidRPr="000F39D2">
        <w:rPr>
          <w:rFonts w:ascii="Arial" w:hAnsi="Arial" w:cs="Arial"/>
        </w:rPr>
        <w:t>.2 vereinbart</w:t>
      </w:r>
      <w:r w:rsidR="001A5DAD" w:rsidRPr="000F39D2">
        <w:rPr>
          <w:rFonts w:ascii="Arial" w:hAnsi="Arial" w:cs="Arial"/>
        </w:rPr>
        <w:t xml:space="preserve"> ist</w:t>
      </w:r>
      <w:r w:rsidR="00584930" w:rsidRPr="000F39D2">
        <w:rPr>
          <w:rFonts w:ascii="Arial" w:hAnsi="Arial" w:cs="Arial"/>
        </w:rPr>
        <w:t>)</w:t>
      </w:r>
    </w:p>
    <w:p w14:paraId="1EC50209" w14:textId="794CF0FE" w:rsidR="00DE60B1" w:rsidRPr="000F39D2" w:rsidRDefault="0022283A" w:rsidP="001B61D8">
      <w:pPr>
        <w:pStyle w:val="berschrift2"/>
        <w:numPr>
          <w:ilvl w:val="0"/>
          <w:numId w:val="0"/>
        </w:numPr>
        <w:ind w:left="851"/>
        <w:rPr>
          <w:rFonts w:ascii="Arial" w:hAnsi="Arial" w:cs="Arial"/>
        </w:rPr>
      </w:pPr>
      <w:r w:rsidRPr="000F39D2">
        <w:rPr>
          <w:rFonts w:ascii="Arial" w:hAnsi="Arial" w:cs="Arial"/>
        </w:rPr>
        <w:t xml:space="preserve">In Abweichung von </w:t>
      </w:r>
      <w:r w:rsidR="00DE60B1" w:rsidRPr="000F39D2">
        <w:rPr>
          <w:rFonts w:ascii="Arial" w:hAnsi="Arial" w:cs="Arial"/>
        </w:rPr>
        <w:t>Ziffer 1</w:t>
      </w:r>
      <w:r w:rsidRPr="000F39D2">
        <w:rPr>
          <w:rFonts w:ascii="Arial" w:hAnsi="Arial" w:cs="Arial"/>
        </w:rPr>
        <w:t xml:space="preserve"> </w:t>
      </w:r>
      <w:r w:rsidR="00D317A9" w:rsidRPr="000F39D2">
        <w:rPr>
          <w:rFonts w:ascii="Arial" w:hAnsi="Arial" w:cs="Arial"/>
        </w:rPr>
        <w:t xml:space="preserve">und nur im Rahmen der Bestimmungen </w:t>
      </w:r>
      <w:r w:rsidR="00584930" w:rsidRPr="000F39D2">
        <w:rPr>
          <w:rFonts w:ascii="Arial" w:hAnsi="Arial" w:cs="Arial"/>
        </w:rPr>
        <w:t>des</w:t>
      </w:r>
      <w:r w:rsidR="00D317A9" w:rsidRPr="000F39D2">
        <w:rPr>
          <w:rFonts w:ascii="Arial" w:hAnsi="Arial" w:cs="Arial"/>
        </w:rPr>
        <w:t xml:space="preserve"> V</w:t>
      </w:r>
      <w:r w:rsidR="00584930" w:rsidRPr="000F39D2">
        <w:rPr>
          <w:rFonts w:ascii="Arial" w:hAnsi="Arial" w:cs="Arial"/>
        </w:rPr>
        <w:t>ersicherungsv</w:t>
      </w:r>
      <w:r w:rsidR="00D317A9" w:rsidRPr="000F39D2">
        <w:rPr>
          <w:rFonts w:ascii="Arial" w:hAnsi="Arial" w:cs="Arial"/>
        </w:rPr>
        <w:t xml:space="preserve">ertrages </w:t>
      </w:r>
      <w:r w:rsidRPr="000F39D2">
        <w:rPr>
          <w:rFonts w:ascii="Arial" w:hAnsi="Arial" w:cs="Arial"/>
        </w:rPr>
        <w:t>gelten</w:t>
      </w:r>
      <w:r w:rsidR="001A5DAD" w:rsidRPr="000F39D2">
        <w:rPr>
          <w:rFonts w:ascii="Arial" w:hAnsi="Arial" w:cs="Arial"/>
        </w:rPr>
        <w:t>, soweit dort versichert,</w:t>
      </w:r>
      <w:r w:rsidRPr="000F39D2">
        <w:rPr>
          <w:rFonts w:ascii="Arial" w:hAnsi="Arial" w:cs="Arial"/>
        </w:rPr>
        <w:t xml:space="preserve"> </w:t>
      </w:r>
      <w:r w:rsidR="0010003B" w:rsidRPr="000F39D2">
        <w:rPr>
          <w:rFonts w:ascii="Arial" w:hAnsi="Arial" w:cs="Arial"/>
        </w:rPr>
        <w:t>Sachschäden, Vermögensschäden, Haftung, Kosten</w:t>
      </w:r>
      <w:r w:rsidR="00584930" w:rsidRPr="000F39D2">
        <w:rPr>
          <w:rFonts w:ascii="Arial" w:hAnsi="Arial" w:cs="Arial"/>
        </w:rPr>
        <w:t>, Aufwendungen</w:t>
      </w:r>
      <w:r w:rsidR="0010003B" w:rsidRPr="000F39D2">
        <w:rPr>
          <w:rFonts w:ascii="Arial" w:hAnsi="Arial" w:cs="Arial"/>
        </w:rPr>
        <w:t xml:space="preserve"> oder mittelbare Schäden</w:t>
      </w:r>
      <w:r w:rsidR="00CA1B2E" w:rsidRPr="000F39D2">
        <w:rPr>
          <w:rFonts w:ascii="Arial" w:hAnsi="Arial" w:cs="Arial"/>
        </w:rPr>
        <w:t xml:space="preserve"> </w:t>
      </w:r>
      <w:r w:rsidRPr="000F39D2">
        <w:rPr>
          <w:rFonts w:ascii="Arial" w:hAnsi="Arial" w:cs="Arial"/>
        </w:rPr>
        <w:t xml:space="preserve">verursacht durch eine Informationssicherheitsverletzung </w:t>
      </w:r>
      <w:r w:rsidR="00D317A9" w:rsidRPr="000F39D2">
        <w:rPr>
          <w:rFonts w:ascii="Arial" w:hAnsi="Arial" w:cs="Arial"/>
        </w:rPr>
        <w:t xml:space="preserve">als </w:t>
      </w:r>
      <w:r w:rsidRPr="000F39D2">
        <w:rPr>
          <w:rFonts w:ascii="Arial" w:hAnsi="Arial" w:cs="Arial"/>
        </w:rPr>
        <w:t>versichert</w:t>
      </w:r>
      <w:r w:rsidR="00BD30DD" w:rsidRPr="000F39D2">
        <w:rPr>
          <w:rFonts w:ascii="Arial" w:hAnsi="Arial" w:cs="Arial"/>
        </w:rPr>
        <w:t xml:space="preserve">. </w:t>
      </w:r>
    </w:p>
    <w:p w14:paraId="06EBC2DA" w14:textId="77777777" w:rsidR="0022283A" w:rsidRPr="000F39D2" w:rsidRDefault="00BD30DD" w:rsidP="006471DC">
      <w:pPr>
        <w:rPr>
          <w:rFonts w:ascii="Arial" w:hAnsi="Arial" w:cs="Arial"/>
        </w:rPr>
      </w:pPr>
      <w:r w:rsidRPr="000F39D2">
        <w:rPr>
          <w:rFonts w:ascii="Arial" w:hAnsi="Arial" w:cs="Arial"/>
        </w:rPr>
        <w:t xml:space="preserve">Wird </w:t>
      </w:r>
      <w:r w:rsidR="0022283A" w:rsidRPr="000F39D2">
        <w:rPr>
          <w:rFonts w:ascii="Arial" w:hAnsi="Arial" w:cs="Arial"/>
        </w:rPr>
        <w:t xml:space="preserve">die Informationssicherheitsverletzung ausgelöst durch </w:t>
      </w:r>
    </w:p>
    <w:p w14:paraId="78678B8F" w14:textId="34CE07E8" w:rsidR="00584930" w:rsidRPr="000F39D2" w:rsidRDefault="0022283A" w:rsidP="00F17213">
      <w:pPr>
        <w:pStyle w:val="Listenabsatz"/>
        <w:numPr>
          <w:ilvl w:val="0"/>
          <w:numId w:val="12"/>
        </w:numPr>
        <w:spacing w:before="120"/>
        <w:ind w:left="1208" w:hanging="357"/>
        <w:rPr>
          <w:rFonts w:ascii="Arial" w:hAnsi="Arial" w:cs="Arial"/>
        </w:rPr>
      </w:pPr>
      <w:r w:rsidRPr="000F39D2">
        <w:rPr>
          <w:rFonts w:ascii="Arial" w:hAnsi="Arial" w:cs="Arial"/>
        </w:rPr>
        <w:lastRenderedPageBreak/>
        <w:t>einen Angriff</w:t>
      </w:r>
      <w:r w:rsidR="00E32752" w:rsidRPr="000F39D2">
        <w:rPr>
          <w:rFonts w:ascii="Arial" w:hAnsi="Arial" w:cs="Arial"/>
        </w:rPr>
        <w:t xml:space="preserve"> </w:t>
      </w:r>
      <w:r w:rsidRPr="000F39D2">
        <w:rPr>
          <w:rFonts w:ascii="Arial" w:hAnsi="Arial" w:cs="Arial"/>
        </w:rPr>
        <w:t xml:space="preserve">auf elektronische Daten </w:t>
      </w:r>
      <w:r w:rsidR="00E32752" w:rsidRPr="000F39D2">
        <w:rPr>
          <w:rFonts w:ascii="Arial" w:hAnsi="Arial" w:cs="Arial"/>
        </w:rPr>
        <w:t>oder</w:t>
      </w:r>
      <w:r w:rsidRPr="000F39D2">
        <w:rPr>
          <w:rFonts w:ascii="Arial" w:hAnsi="Arial" w:cs="Arial"/>
        </w:rPr>
        <w:t xml:space="preserve"> informationsverarbeitende Systeme</w:t>
      </w:r>
      <w:r w:rsidR="006C415B" w:rsidRPr="000F39D2">
        <w:rPr>
          <w:rFonts w:ascii="Arial" w:hAnsi="Arial" w:cs="Arial"/>
        </w:rPr>
        <w:t xml:space="preserve"> </w:t>
      </w:r>
      <w:r w:rsidRPr="000F39D2">
        <w:rPr>
          <w:rFonts w:ascii="Arial" w:hAnsi="Arial" w:cs="Arial"/>
        </w:rPr>
        <w:t>nicht ausschließlich des Versicherungsnehmers</w:t>
      </w:r>
      <w:r w:rsidR="00A46FCA" w:rsidRPr="000F39D2">
        <w:rPr>
          <w:rFonts w:ascii="Arial" w:hAnsi="Arial" w:cs="Arial"/>
        </w:rPr>
        <w:t xml:space="preserve"> bzw. </w:t>
      </w:r>
      <w:r w:rsidR="00F07B9F" w:rsidRPr="000F39D2">
        <w:rPr>
          <w:rFonts w:ascii="Arial" w:hAnsi="Arial" w:cs="Arial"/>
        </w:rPr>
        <w:t xml:space="preserve">des Versicherten oder </w:t>
      </w:r>
      <w:r w:rsidR="004D669D" w:rsidRPr="000F39D2">
        <w:rPr>
          <w:rFonts w:ascii="Arial" w:hAnsi="Arial" w:cs="Arial"/>
        </w:rPr>
        <w:t>des</w:t>
      </w:r>
      <w:r w:rsidR="00A46FCA" w:rsidRPr="000F39D2">
        <w:rPr>
          <w:rFonts w:ascii="Arial" w:hAnsi="Arial" w:cs="Arial"/>
        </w:rPr>
        <w:t xml:space="preserve"> eingeschalteten Dritten</w:t>
      </w:r>
      <w:r w:rsidR="00603CC0" w:rsidRPr="000F39D2">
        <w:rPr>
          <w:rFonts w:ascii="Arial" w:hAnsi="Arial" w:cs="Arial"/>
        </w:rPr>
        <w:t xml:space="preserve"> i.S.v.</w:t>
      </w:r>
      <w:r w:rsidR="00EF515A" w:rsidRPr="000F39D2">
        <w:rPr>
          <w:rFonts w:ascii="Arial" w:hAnsi="Arial" w:cs="Arial"/>
        </w:rPr>
        <w:t xml:space="preserve"> Ziffer 1</w:t>
      </w:r>
      <w:r w:rsidR="00603CC0" w:rsidRPr="000F39D2">
        <w:rPr>
          <w:rFonts w:ascii="Arial" w:hAnsi="Arial" w:cs="Arial"/>
        </w:rPr>
        <w:t>, oder</w:t>
      </w:r>
    </w:p>
    <w:p w14:paraId="73E21985" w14:textId="5A750A4B" w:rsidR="00603CC0" w:rsidRPr="000F39D2" w:rsidRDefault="0022283A" w:rsidP="00FE2CCC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0F39D2">
        <w:rPr>
          <w:rFonts w:ascii="Arial" w:hAnsi="Arial" w:cs="Arial"/>
        </w:rPr>
        <w:t xml:space="preserve">ein Schadprogramm, das auf elektronische Daten </w:t>
      </w:r>
      <w:r w:rsidR="00E32752" w:rsidRPr="000F39D2">
        <w:rPr>
          <w:rFonts w:ascii="Arial" w:hAnsi="Arial" w:cs="Arial"/>
        </w:rPr>
        <w:t>oder</w:t>
      </w:r>
      <w:r w:rsidRPr="000F39D2">
        <w:rPr>
          <w:rFonts w:ascii="Arial" w:hAnsi="Arial" w:cs="Arial"/>
        </w:rPr>
        <w:t xml:space="preserve"> informationsverarbeitende Systeme des Versicherungsnehmers </w:t>
      </w:r>
      <w:r w:rsidR="0010003B" w:rsidRPr="000F39D2">
        <w:rPr>
          <w:rFonts w:ascii="Arial" w:hAnsi="Arial" w:cs="Arial"/>
        </w:rPr>
        <w:t xml:space="preserve">bzw. </w:t>
      </w:r>
      <w:r w:rsidR="00F07B9F" w:rsidRPr="000F39D2">
        <w:rPr>
          <w:rFonts w:ascii="Arial" w:hAnsi="Arial" w:cs="Arial"/>
        </w:rPr>
        <w:t xml:space="preserve">des Versicherten oder </w:t>
      </w:r>
      <w:r w:rsidR="004D669D" w:rsidRPr="000F39D2">
        <w:rPr>
          <w:rFonts w:ascii="Arial" w:hAnsi="Arial" w:cs="Arial"/>
        </w:rPr>
        <w:t>des</w:t>
      </w:r>
      <w:r w:rsidR="00EF515A" w:rsidRPr="000F39D2">
        <w:rPr>
          <w:rFonts w:ascii="Arial" w:hAnsi="Arial" w:cs="Arial"/>
        </w:rPr>
        <w:t xml:space="preserve"> </w:t>
      </w:r>
      <w:r w:rsidR="0010003B" w:rsidRPr="000F39D2">
        <w:rPr>
          <w:rFonts w:ascii="Arial" w:hAnsi="Arial" w:cs="Arial"/>
        </w:rPr>
        <w:t xml:space="preserve">eingeschalteten Dritten </w:t>
      </w:r>
      <w:r w:rsidR="00603CC0" w:rsidRPr="000F39D2">
        <w:rPr>
          <w:rFonts w:ascii="Arial" w:hAnsi="Arial" w:cs="Arial"/>
        </w:rPr>
        <w:t>i.S.v.</w:t>
      </w:r>
      <w:r w:rsidR="00EF515A" w:rsidRPr="000F39D2">
        <w:rPr>
          <w:rFonts w:ascii="Arial" w:hAnsi="Arial" w:cs="Arial"/>
        </w:rPr>
        <w:t xml:space="preserve"> Ziffer 1 </w:t>
      </w:r>
      <w:r w:rsidRPr="000F39D2">
        <w:rPr>
          <w:rFonts w:ascii="Arial" w:hAnsi="Arial" w:cs="Arial"/>
        </w:rPr>
        <w:t>wirkt</w:t>
      </w:r>
      <w:r w:rsidR="008E3E8D" w:rsidRPr="000F39D2">
        <w:rPr>
          <w:rFonts w:ascii="Arial" w:hAnsi="Arial" w:cs="Arial"/>
        </w:rPr>
        <w:t xml:space="preserve">, </w:t>
      </w:r>
    </w:p>
    <w:p w14:paraId="2A328ABF" w14:textId="38E71896" w:rsidR="000D1CC8" w:rsidRPr="000F39D2" w:rsidRDefault="00D317A9" w:rsidP="00F17213">
      <w:pPr>
        <w:spacing w:before="120"/>
        <w:rPr>
          <w:rFonts w:ascii="Arial" w:hAnsi="Arial" w:cs="Arial"/>
        </w:rPr>
      </w:pPr>
      <w:r w:rsidRPr="000F39D2">
        <w:rPr>
          <w:rFonts w:ascii="Arial" w:hAnsi="Arial" w:cs="Arial"/>
        </w:rPr>
        <w:t xml:space="preserve">ist die Ersatzleistung für jedes Schadenereignis </w:t>
      </w:r>
      <w:r w:rsidR="00776FA9" w:rsidRPr="000F39D2">
        <w:rPr>
          <w:rFonts w:ascii="Arial" w:hAnsi="Arial" w:cs="Arial"/>
        </w:rPr>
        <w:t xml:space="preserve">auf </w:t>
      </w:r>
      <w:r w:rsidRPr="000F39D2">
        <w:rPr>
          <w:rFonts w:ascii="Arial" w:hAnsi="Arial" w:cs="Arial"/>
        </w:rPr>
        <w:t>… sowie für alle Schadenereignisse eines Versicherungsjahres auf …</w:t>
      </w:r>
      <w:r w:rsidR="00603CC0" w:rsidRPr="000F39D2">
        <w:rPr>
          <w:rFonts w:ascii="Arial" w:hAnsi="Arial" w:cs="Arial"/>
        </w:rPr>
        <w:t xml:space="preserve"> begrenzt.</w:t>
      </w:r>
    </w:p>
    <w:p w14:paraId="6A7CAA71" w14:textId="2DE19DA2" w:rsidR="00603CC0" w:rsidRPr="000F39D2" w:rsidRDefault="00BB32AC" w:rsidP="00BB32AC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  <w:iCs/>
        </w:rPr>
      </w:pPr>
      <w:r w:rsidRPr="000F39D2">
        <w:rPr>
          <w:rFonts w:ascii="Arial" w:hAnsi="Arial" w:cs="Arial"/>
        </w:rPr>
        <w:t>3.2</w:t>
      </w:r>
      <w:r w:rsidRPr="000F39D2">
        <w:rPr>
          <w:rFonts w:ascii="Arial" w:hAnsi="Arial" w:cs="Arial"/>
        </w:rPr>
        <w:tab/>
      </w:r>
      <w:r w:rsidR="00D81211" w:rsidRPr="000F39D2">
        <w:rPr>
          <w:rFonts w:ascii="Arial" w:hAnsi="Arial" w:cs="Arial"/>
        </w:rPr>
        <w:t>Option</w:t>
      </w:r>
      <w:r w:rsidR="00584930" w:rsidRPr="000F39D2">
        <w:rPr>
          <w:rFonts w:ascii="Arial" w:hAnsi="Arial" w:cs="Arial"/>
        </w:rPr>
        <w:t xml:space="preserve"> 2 (gilt nur, wenn </w:t>
      </w:r>
      <w:r w:rsidR="001A5DAD" w:rsidRPr="000F39D2">
        <w:rPr>
          <w:rFonts w:ascii="Arial" w:hAnsi="Arial" w:cs="Arial"/>
        </w:rPr>
        <w:t>im Versicherungsvertrag</w:t>
      </w:r>
      <w:r w:rsidR="00584930" w:rsidRPr="000F39D2">
        <w:rPr>
          <w:rFonts w:ascii="Arial" w:hAnsi="Arial" w:cs="Arial"/>
        </w:rPr>
        <w:t xml:space="preserve"> vereinbart)</w:t>
      </w:r>
    </w:p>
    <w:p w14:paraId="4BA3A0B2" w14:textId="2792D4A7" w:rsidR="00964547" w:rsidRPr="000F39D2" w:rsidRDefault="00584930" w:rsidP="001B61D8">
      <w:pPr>
        <w:pStyle w:val="berschrift2"/>
        <w:numPr>
          <w:ilvl w:val="0"/>
          <w:numId w:val="0"/>
        </w:numPr>
        <w:ind w:left="851"/>
        <w:rPr>
          <w:rFonts w:ascii="Arial" w:hAnsi="Arial" w:cs="Arial"/>
          <w:iCs/>
        </w:rPr>
      </w:pPr>
      <w:r w:rsidRPr="000F39D2">
        <w:rPr>
          <w:rFonts w:ascii="Arial" w:hAnsi="Arial" w:cs="Arial"/>
        </w:rPr>
        <w:t xml:space="preserve">In </w:t>
      </w:r>
      <w:r w:rsidR="003B1EDE" w:rsidRPr="000F39D2">
        <w:rPr>
          <w:rFonts w:ascii="Arial" w:hAnsi="Arial" w:cs="Arial"/>
        </w:rPr>
        <w:t>Abweichung von Ziff</w:t>
      </w:r>
      <w:r w:rsidR="00EF515A" w:rsidRPr="000F39D2">
        <w:rPr>
          <w:rFonts w:ascii="Arial" w:hAnsi="Arial" w:cs="Arial"/>
        </w:rPr>
        <w:t>er</w:t>
      </w:r>
      <w:r w:rsidR="003D6DD5" w:rsidRPr="000F39D2">
        <w:rPr>
          <w:rFonts w:ascii="Arial" w:hAnsi="Arial" w:cs="Arial"/>
        </w:rPr>
        <w:t xml:space="preserve"> </w:t>
      </w:r>
      <w:r w:rsidR="003B1EDE" w:rsidRPr="000F39D2">
        <w:rPr>
          <w:rFonts w:ascii="Arial" w:hAnsi="Arial" w:cs="Arial"/>
        </w:rPr>
        <w:t xml:space="preserve">1 </w:t>
      </w:r>
      <w:r w:rsidR="00FA2C4D" w:rsidRPr="000F39D2">
        <w:rPr>
          <w:rFonts w:ascii="Arial" w:hAnsi="Arial" w:cs="Arial"/>
        </w:rPr>
        <w:t>und</w:t>
      </w:r>
      <w:r w:rsidR="000C3851" w:rsidRPr="000F39D2">
        <w:rPr>
          <w:rFonts w:ascii="Arial" w:hAnsi="Arial" w:cs="Arial"/>
        </w:rPr>
        <w:t xml:space="preserve"> nur</w:t>
      </w:r>
      <w:r w:rsidR="00FA2C4D" w:rsidRPr="000F39D2">
        <w:rPr>
          <w:rFonts w:ascii="Arial" w:hAnsi="Arial" w:cs="Arial"/>
        </w:rPr>
        <w:t xml:space="preserve"> im Rahmen der Bestimmungen </w:t>
      </w:r>
      <w:r w:rsidR="00D81211" w:rsidRPr="000F39D2">
        <w:rPr>
          <w:rFonts w:ascii="Arial" w:hAnsi="Arial" w:cs="Arial"/>
        </w:rPr>
        <w:t>des Versicherungsvertrages</w:t>
      </w:r>
      <w:r w:rsidR="00FA2C4D" w:rsidRPr="000F39D2">
        <w:rPr>
          <w:rFonts w:ascii="Arial" w:hAnsi="Arial" w:cs="Arial"/>
        </w:rPr>
        <w:t xml:space="preserve"> </w:t>
      </w:r>
      <w:r w:rsidR="00402169" w:rsidRPr="000F39D2">
        <w:rPr>
          <w:rFonts w:ascii="Arial" w:hAnsi="Arial" w:cs="Arial"/>
        </w:rPr>
        <w:t>gelten</w:t>
      </w:r>
      <w:r w:rsidR="001A5DAD" w:rsidRPr="000F39D2">
        <w:rPr>
          <w:rFonts w:ascii="Arial" w:hAnsi="Arial" w:cs="Arial"/>
        </w:rPr>
        <w:t>, soweit dort versichert,</w:t>
      </w:r>
      <w:r w:rsidR="00402169" w:rsidRPr="000F39D2">
        <w:rPr>
          <w:rFonts w:ascii="Arial" w:hAnsi="Arial" w:cs="Arial"/>
        </w:rPr>
        <w:t xml:space="preserve"> </w:t>
      </w:r>
      <w:r w:rsidR="0010003B" w:rsidRPr="000F39D2">
        <w:rPr>
          <w:rFonts w:ascii="Arial" w:hAnsi="Arial" w:cs="Arial"/>
        </w:rPr>
        <w:t>Sachschäden, Vermögensschäden, Haftung, Kosten</w:t>
      </w:r>
      <w:r w:rsidRPr="000F39D2">
        <w:rPr>
          <w:rFonts w:ascii="Arial" w:hAnsi="Arial" w:cs="Arial"/>
        </w:rPr>
        <w:t>, Aufwendungen</w:t>
      </w:r>
      <w:r w:rsidR="0010003B" w:rsidRPr="000F39D2">
        <w:rPr>
          <w:rFonts w:ascii="Arial" w:hAnsi="Arial" w:cs="Arial"/>
        </w:rPr>
        <w:t xml:space="preserve"> oder mittelbare Schäden</w:t>
      </w:r>
      <w:r w:rsidR="00931BA6" w:rsidRPr="000F39D2">
        <w:rPr>
          <w:rFonts w:ascii="Arial" w:hAnsi="Arial" w:cs="Arial"/>
        </w:rPr>
        <w:t xml:space="preserve"> verursacht </w:t>
      </w:r>
      <w:r w:rsidR="00964547" w:rsidRPr="000F39D2">
        <w:rPr>
          <w:rFonts w:ascii="Arial" w:hAnsi="Arial" w:cs="Arial"/>
        </w:rPr>
        <w:t>durch eine</w:t>
      </w:r>
      <w:r w:rsidR="00FA2C4D" w:rsidRPr="000F39D2">
        <w:rPr>
          <w:rFonts w:ascii="Arial" w:hAnsi="Arial" w:cs="Arial"/>
        </w:rPr>
        <w:t xml:space="preserve"> Informationssicherheitsverletzung</w:t>
      </w:r>
      <w:r w:rsidR="00964547" w:rsidRPr="000F39D2">
        <w:rPr>
          <w:rFonts w:ascii="Arial" w:hAnsi="Arial" w:cs="Arial"/>
        </w:rPr>
        <w:t xml:space="preserve"> nach Maßgabe der folgenden Bestimmungen als versichert: </w:t>
      </w:r>
    </w:p>
    <w:p w14:paraId="5F5898DD" w14:textId="77777777" w:rsidR="00603CC0" w:rsidRPr="000F39D2" w:rsidRDefault="00FA2C4D" w:rsidP="00F17213">
      <w:pPr>
        <w:pStyle w:val="Listenabsatz"/>
        <w:numPr>
          <w:ilvl w:val="0"/>
          <w:numId w:val="13"/>
        </w:numPr>
        <w:spacing w:before="120"/>
        <w:ind w:left="1208" w:hanging="357"/>
        <w:rPr>
          <w:rFonts w:ascii="Arial" w:hAnsi="Arial" w:cs="Arial"/>
        </w:rPr>
      </w:pPr>
      <w:r w:rsidRPr="000F39D2">
        <w:rPr>
          <w:rFonts w:ascii="Arial" w:hAnsi="Arial" w:cs="Arial"/>
        </w:rPr>
        <w:t xml:space="preserve">Verlust oder Beschädigung </w:t>
      </w:r>
      <w:r w:rsidR="00776FA9" w:rsidRPr="000F39D2">
        <w:rPr>
          <w:rFonts w:ascii="Arial" w:hAnsi="Arial" w:cs="Arial"/>
        </w:rPr>
        <w:t>im Zusammenhang mit</w:t>
      </w:r>
      <w:r w:rsidR="003B1EDE" w:rsidRPr="000F39D2">
        <w:rPr>
          <w:rFonts w:ascii="Arial" w:hAnsi="Arial" w:cs="Arial"/>
        </w:rPr>
        <w:t xml:space="preserve"> Abhandenkommen, Diebstahl oder Unterschlagung.</w:t>
      </w:r>
      <w:r w:rsidR="00964547" w:rsidRPr="000F39D2">
        <w:rPr>
          <w:rFonts w:ascii="Arial" w:hAnsi="Arial" w:cs="Arial"/>
        </w:rPr>
        <w:t xml:space="preserve"> Für das Vorliegen </w:t>
      </w:r>
      <w:r w:rsidR="003A0D5D" w:rsidRPr="000F39D2">
        <w:rPr>
          <w:rFonts w:ascii="Arial" w:hAnsi="Arial" w:cs="Arial"/>
        </w:rPr>
        <w:t>dieser</w:t>
      </w:r>
      <w:r w:rsidR="00931BA6" w:rsidRPr="000F39D2">
        <w:rPr>
          <w:rFonts w:ascii="Arial" w:hAnsi="Arial" w:cs="Arial"/>
        </w:rPr>
        <w:t xml:space="preserve"> Umstände </w:t>
      </w:r>
      <w:r w:rsidR="00964547" w:rsidRPr="000F39D2">
        <w:rPr>
          <w:rFonts w:ascii="Arial" w:hAnsi="Arial" w:cs="Arial"/>
        </w:rPr>
        <w:t>ist ausreichend, wenn sie vom Versicherung</w:t>
      </w:r>
      <w:r w:rsidR="003A0D5D" w:rsidRPr="000F39D2">
        <w:rPr>
          <w:rFonts w:ascii="Arial" w:hAnsi="Arial" w:cs="Arial"/>
        </w:rPr>
        <w:t>snehmer schlüssig dargelegt werden</w:t>
      </w:r>
      <w:r w:rsidR="00964547" w:rsidRPr="000F39D2">
        <w:rPr>
          <w:rFonts w:ascii="Arial" w:hAnsi="Arial" w:cs="Arial"/>
        </w:rPr>
        <w:t xml:space="preserve">. </w:t>
      </w:r>
    </w:p>
    <w:p w14:paraId="64ED4C12" w14:textId="77777777" w:rsidR="00FF6F6C" w:rsidRPr="000F39D2" w:rsidRDefault="00FA2C4D" w:rsidP="00F17213">
      <w:pPr>
        <w:spacing w:before="120"/>
        <w:rPr>
          <w:rFonts w:ascii="Arial" w:hAnsi="Arial" w:cs="Arial"/>
        </w:rPr>
      </w:pPr>
      <w:r w:rsidRPr="000F39D2">
        <w:rPr>
          <w:rFonts w:ascii="Arial" w:hAnsi="Arial" w:cs="Arial"/>
        </w:rPr>
        <w:t xml:space="preserve">Für diese Fälle ist die Ersatzleistung für jedes Schadenereignis auf … </w:t>
      </w:r>
      <w:r w:rsidR="00776FA9" w:rsidRPr="000F39D2">
        <w:rPr>
          <w:rFonts w:ascii="Arial" w:hAnsi="Arial" w:cs="Arial"/>
        </w:rPr>
        <w:t xml:space="preserve">begrenzt </w:t>
      </w:r>
      <w:r w:rsidRPr="000F39D2">
        <w:rPr>
          <w:rFonts w:ascii="Arial" w:hAnsi="Arial" w:cs="Arial"/>
        </w:rPr>
        <w:t>sowie für alle Schadenereignisse eines Versicherungsjahres auf …</w:t>
      </w:r>
      <w:r w:rsidR="00776FA9" w:rsidRPr="000F39D2">
        <w:rPr>
          <w:rFonts w:ascii="Arial" w:hAnsi="Arial" w:cs="Arial"/>
        </w:rPr>
        <w:t xml:space="preserve"> begrenzt.</w:t>
      </w:r>
    </w:p>
    <w:p w14:paraId="7E8C3D0E" w14:textId="436924D2" w:rsidR="002C7675" w:rsidRPr="000F39D2" w:rsidRDefault="00A46427" w:rsidP="00A46427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hAnsi="Arial" w:cs="Arial"/>
        </w:rPr>
        <w:t>3.3</w:t>
      </w:r>
      <w:r w:rsidRPr="000F39D2">
        <w:rPr>
          <w:rFonts w:ascii="Arial" w:hAnsi="Arial" w:cs="Arial"/>
        </w:rPr>
        <w:tab/>
      </w:r>
      <w:r w:rsidR="002C7675" w:rsidRPr="000F39D2">
        <w:rPr>
          <w:rFonts w:ascii="Arial" w:hAnsi="Arial" w:cs="Arial"/>
        </w:rPr>
        <w:t xml:space="preserve">Der </w:t>
      </w:r>
      <w:r w:rsidR="008A4AD5" w:rsidRPr="000F39D2">
        <w:rPr>
          <w:rFonts w:ascii="Arial" w:hAnsi="Arial" w:cs="Arial"/>
        </w:rPr>
        <w:t xml:space="preserve">Wiedereinschluss </w:t>
      </w:r>
      <w:r w:rsidR="00E4208A" w:rsidRPr="000F39D2">
        <w:rPr>
          <w:rFonts w:ascii="Arial" w:hAnsi="Arial" w:cs="Arial"/>
        </w:rPr>
        <w:t>in Ziffer</w:t>
      </w:r>
      <w:r w:rsidR="008A4AD5" w:rsidRPr="000F39D2">
        <w:rPr>
          <w:rFonts w:ascii="Arial" w:hAnsi="Arial" w:cs="Arial"/>
        </w:rPr>
        <w:t xml:space="preserve"> </w:t>
      </w:r>
      <w:r w:rsidR="009F186E" w:rsidRPr="000F39D2">
        <w:rPr>
          <w:rFonts w:ascii="Arial" w:hAnsi="Arial" w:cs="Arial"/>
        </w:rPr>
        <w:t>3</w:t>
      </w:r>
      <w:r w:rsidR="002C7675" w:rsidRPr="000F39D2">
        <w:rPr>
          <w:rFonts w:ascii="Arial" w:hAnsi="Arial" w:cs="Arial"/>
        </w:rPr>
        <w:t xml:space="preserve"> kann jederzeit </w:t>
      </w:r>
      <w:r w:rsidR="00E4208A" w:rsidRPr="000F39D2">
        <w:rPr>
          <w:rFonts w:ascii="Arial" w:hAnsi="Arial" w:cs="Arial"/>
        </w:rPr>
        <w:t>in Textform</w:t>
      </w:r>
      <w:r w:rsidR="008A4AD5" w:rsidRPr="000F39D2">
        <w:rPr>
          <w:rFonts w:ascii="Arial" w:hAnsi="Arial" w:cs="Arial"/>
        </w:rPr>
        <w:t xml:space="preserve"> </w:t>
      </w:r>
      <w:r w:rsidR="002C7675" w:rsidRPr="000F39D2">
        <w:rPr>
          <w:rFonts w:ascii="Arial" w:hAnsi="Arial" w:cs="Arial"/>
        </w:rPr>
        <w:t>gekündigt werden. Die Kündigung wird 7 Tage nach Zugang wirksam.</w:t>
      </w:r>
    </w:p>
    <w:p w14:paraId="577A22A9" w14:textId="76A7CFFA" w:rsidR="000D1CC8" w:rsidRPr="000F39D2" w:rsidRDefault="00A46427" w:rsidP="002E1F17">
      <w:pPr>
        <w:pStyle w:val="berschrift2"/>
        <w:numPr>
          <w:ilvl w:val="0"/>
          <w:numId w:val="0"/>
        </w:numPr>
        <w:ind w:left="851" w:hanging="851"/>
        <w:rPr>
          <w:rFonts w:ascii="Arial" w:hAnsi="Arial" w:cs="Arial"/>
        </w:rPr>
      </w:pPr>
      <w:r w:rsidRPr="000F39D2">
        <w:rPr>
          <w:rFonts w:ascii="Arial" w:hAnsi="Arial" w:cs="Arial"/>
        </w:rPr>
        <w:t>3.4</w:t>
      </w:r>
      <w:r w:rsidRPr="000F39D2">
        <w:rPr>
          <w:rFonts w:ascii="Arial" w:hAnsi="Arial" w:cs="Arial"/>
        </w:rPr>
        <w:tab/>
      </w:r>
      <w:r w:rsidR="00963C17" w:rsidRPr="000F39D2">
        <w:rPr>
          <w:rFonts w:ascii="Arial" w:hAnsi="Arial" w:cs="Arial"/>
        </w:rPr>
        <w:t>Der</w:t>
      </w:r>
      <w:r w:rsidR="00877CB3" w:rsidRPr="000F39D2">
        <w:rPr>
          <w:rFonts w:ascii="Arial" w:hAnsi="Arial" w:cs="Arial"/>
        </w:rPr>
        <w:t xml:space="preserve"> Wiedereinschluss </w:t>
      </w:r>
      <w:r w:rsidR="00963C17" w:rsidRPr="000F39D2">
        <w:rPr>
          <w:rFonts w:ascii="Arial" w:hAnsi="Arial" w:cs="Arial"/>
        </w:rPr>
        <w:t xml:space="preserve">in Ziffer </w:t>
      </w:r>
      <w:r w:rsidR="00571BF3" w:rsidRPr="000F39D2">
        <w:rPr>
          <w:rFonts w:ascii="Arial" w:hAnsi="Arial" w:cs="Arial"/>
        </w:rPr>
        <w:t>3</w:t>
      </w:r>
      <w:r w:rsidR="00963C17" w:rsidRPr="000F39D2">
        <w:rPr>
          <w:rFonts w:ascii="Arial" w:hAnsi="Arial" w:cs="Arial"/>
        </w:rPr>
        <w:t xml:space="preserve"> </w:t>
      </w:r>
      <w:r w:rsidR="00877CB3" w:rsidRPr="000F39D2">
        <w:rPr>
          <w:rFonts w:ascii="Arial" w:hAnsi="Arial" w:cs="Arial"/>
        </w:rPr>
        <w:t xml:space="preserve">gewährt keinen zusätzlichen Versicherungsschutz über die sonstigen Bestimmungen </w:t>
      </w:r>
      <w:r w:rsidR="00402169" w:rsidRPr="000F39D2">
        <w:rPr>
          <w:rFonts w:ascii="Arial" w:hAnsi="Arial" w:cs="Arial"/>
        </w:rPr>
        <w:t>des Versicherungsvertrages</w:t>
      </w:r>
      <w:r w:rsidR="00877CB3" w:rsidRPr="000F39D2">
        <w:rPr>
          <w:rFonts w:ascii="Arial" w:hAnsi="Arial" w:cs="Arial"/>
        </w:rPr>
        <w:t xml:space="preserve"> hinaus.</w:t>
      </w:r>
    </w:p>
    <w:sectPr w:rsidR="000D1CC8" w:rsidRPr="000F39D2" w:rsidSect="00955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7135" w14:textId="77777777" w:rsidR="00C41B8F" w:rsidRDefault="00C41B8F" w:rsidP="006471DC">
      <w:r>
        <w:separator/>
      </w:r>
    </w:p>
  </w:endnote>
  <w:endnote w:type="continuationSeparator" w:id="0">
    <w:p w14:paraId="39B38421" w14:textId="77777777" w:rsidR="00C41B8F" w:rsidRDefault="00C41B8F" w:rsidP="0064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DVtype">
    <w:panose1 w:val="020F0003040202060204"/>
    <w:charset w:val="00"/>
    <w:family w:val="swiss"/>
    <w:pitch w:val="variable"/>
    <w:sig w:usb0="A00000AF" w:usb1="5000E0FF" w:usb2="00000002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9317" w14:textId="77777777" w:rsidR="000B1AC7" w:rsidRDefault="000B1A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8411" w14:textId="77777777" w:rsidR="009554CE" w:rsidRDefault="009554CE" w:rsidP="009554CE">
    <w:pPr>
      <w:pStyle w:val="Fuzeile"/>
      <w:tabs>
        <w:tab w:val="clear" w:pos="4536"/>
        <w:tab w:val="clear" w:pos="9072"/>
        <w:tab w:val="left" w:pos="9213"/>
        <w:tab w:val="right" w:pos="10205"/>
      </w:tabs>
      <w:ind w:left="0"/>
      <w:rPr>
        <w:rFonts w:ascii="Arial" w:hAnsi="Arial" w:cs="Arial"/>
        <w:sz w:val="16"/>
      </w:rPr>
    </w:pPr>
  </w:p>
  <w:p w14:paraId="79015584" w14:textId="224180E5" w:rsidR="009554CE" w:rsidRDefault="009554CE" w:rsidP="009554CE">
    <w:pPr>
      <w:pStyle w:val="Fuzeile"/>
      <w:ind w:left="0"/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63360" behindDoc="1" locked="1" layoutInCell="0" allowOverlap="1" wp14:anchorId="433AA4E2" wp14:editId="3BD45CBA">
              <wp:simplePos x="0" y="0"/>
              <wp:positionH relativeFrom="column">
                <wp:posOffset>10795</wp:posOffset>
              </wp:positionH>
              <wp:positionV relativeFrom="paragraph">
                <wp:posOffset>-17780</wp:posOffset>
              </wp:positionV>
              <wp:extent cx="457200" cy="0"/>
              <wp:effectExtent l="0" t="0" r="0" b="0"/>
              <wp:wrapNone/>
              <wp:docPr id="1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9ED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1.4pt" to="36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" o:allowincell="f">
              <w10:anchorlock/>
            </v:line>
          </w:pict>
        </mc:Fallback>
      </mc:AlternateContent>
    </w:r>
    <w:proofErr w:type="spellStart"/>
    <w:r w:rsidRPr="009554CE">
      <w:rPr>
        <w:rFonts w:ascii="Arial" w:hAnsi="Arial" w:cs="Arial"/>
        <w:sz w:val="16"/>
      </w:rPr>
      <w:t>Cyber-</w:t>
    </w:r>
    <w:proofErr w:type="spellEnd"/>
    <w:r w:rsidRPr="009554CE">
      <w:rPr>
        <w:rFonts w:ascii="Arial" w:hAnsi="Arial" w:cs="Arial"/>
        <w:sz w:val="16"/>
      </w:rPr>
      <w:t>/Blackout-Klausel</w:t>
    </w:r>
    <w:r w:rsidRPr="00B014E4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>Januar 2021</w:t>
    </w:r>
    <w:r>
      <w:rPr>
        <w:rFonts w:ascii="Arial" w:hAnsi="Arial" w:cs="Arial"/>
        <w:sz w:val="16"/>
      </w:rPr>
      <w:tab/>
    </w:r>
    <w:sdt>
      <w:sdtPr>
        <w:id w:val="61304681"/>
        <w:docPartObj>
          <w:docPartGallery w:val="Page Numbers (Top of Page)"/>
          <w:docPartUnique/>
        </w:docPartObj>
      </w:sdtPr>
      <w:sdtEndPr/>
      <w:sdtContent>
        <w:r>
          <w:tab/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0349" w14:textId="77777777" w:rsidR="009554CE" w:rsidRDefault="009554CE" w:rsidP="009554CE">
    <w:pPr>
      <w:pStyle w:val="Fuzeile"/>
      <w:tabs>
        <w:tab w:val="clear" w:pos="4536"/>
        <w:tab w:val="clear" w:pos="9072"/>
        <w:tab w:val="left" w:pos="9213"/>
        <w:tab w:val="right" w:pos="10205"/>
      </w:tabs>
      <w:ind w:left="0"/>
      <w:rPr>
        <w:rFonts w:ascii="Arial" w:hAnsi="Arial" w:cs="Arial"/>
        <w:sz w:val="16"/>
      </w:rPr>
    </w:pPr>
  </w:p>
  <w:p w14:paraId="468C61D1" w14:textId="0159F64D" w:rsidR="009554CE" w:rsidRDefault="009554CE" w:rsidP="009554CE">
    <w:pPr>
      <w:pStyle w:val="Fuzeile"/>
      <w:ind w:left="0"/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61312" behindDoc="1" locked="1" layoutInCell="0" allowOverlap="1" wp14:anchorId="65492871" wp14:editId="42A176E1">
              <wp:simplePos x="0" y="0"/>
              <wp:positionH relativeFrom="column">
                <wp:posOffset>10795</wp:posOffset>
              </wp:positionH>
              <wp:positionV relativeFrom="paragraph">
                <wp:posOffset>-17780</wp:posOffset>
              </wp:positionV>
              <wp:extent cx="4572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5DAC3F" id="Lin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1.4pt" to="36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" o:allowincell="f">
              <w10:anchorlock/>
            </v:line>
          </w:pict>
        </mc:Fallback>
      </mc:AlternateContent>
    </w:r>
    <w:proofErr w:type="spellStart"/>
    <w:r w:rsidRPr="009554CE">
      <w:rPr>
        <w:rFonts w:ascii="Arial" w:hAnsi="Arial" w:cs="Arial"/>
        <w:sz w:val="16"/>
      </w:rPr>
      <w:t>Cyber-</w:t>
    </w:r>
    <w:proofErr w:type="spellEnd"/>
    <w:r w:rsidRPr="009554CE">
      <w:rPr>
        <w:rFonts w:ascii="Arial" w:hAnsi="Arial" w:cs="Arial"/>
        <w:sz w:val="16"/>
      </w:rPr>
      <w:t>/Blackout-Klausel</w:t>
    </w:r>
    <w:r w:rsidRPr="00B014E4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>Januar 2021</w:t>
    </w:r>
    <w:r>
      <w:rPr>
        <w:rFonts w:ascii="Arial" w:hAnsi="Arial" w:cs="Arial"/>
        <w:sz w:val="16"/>
      </w:rPr>
      <w:tab/>
    </w:r>
    <w:sdt>
      <w:sdtPr>
        <w:id w:val="1119719703"/>
        <w:docPartObj>
          <w:docPartGallery w:val="Page Numbers (Top of Page)"/>
          <w:docPartUnique/>
        </w:docPartObj>
      </w:sdtPr>
      <w:sdtEndPr/>
      <w:sdtContent>
        <w:r>
          <w:tab/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CF3D3" w14:textId="77777777" w:rsidR="00C41B8F" w:rsidRDefault="00C41B8F" w:rsidP="006471DC">
      <w:r>
        <w:separator/>
      </w:r>
    </w:p>
  </w:footnote>
  <w:footnote w:type="continuationSeparator" w:id="0">
    <w:p w14:paraId="3C223CD7" w14:textId="77777777" w:rsidR="00C41B8F" w:rsidRDefault="00C41B8F" w:rsidP="0064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7A09" w14:textId="77777777" w:rsidR="000B1AC7" w:rsidRDefault="000B1A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D258" w14:textId="5737044D" w:rsidR="009554CE" w:rsidRDefault="00CF0213">
    <w:pPr>
      <w:pStyle w:val="Kopfzeile"/>
    </w:pPr>
    <w:r>
      <w:rPr>
        <w:noProof/>
      </w:rPr>
      <w:drawing>
        <wp:anchor distT="0" distB="0" distL="114300" distR="114300" simplePos="0" relativeHeight="251665408" behindDoc="0" locked="0" layoutInCell="0" allowOverlap="1" wp14:anchorId="172C77A9" wp14:editId="7750E980">
          <wp:simplePos x="0" y="0"/>
          <wp:positionH relativeFrom="column">
            <wp:posOffset>0</wp:posOffset>
          </wp:positionH>
          <wp:positionV relativeFrom="paragraph">
            <wp:posOffset>-85090</wp:posOffset>
          </wp:positionV>
          <wp:extent cx="2343150" cy="409575"/>
          <wp:effectExtent l="0" t="0" r="0" b="0"/>
          <wp:wrapNone/>
          <wp:docPr id="3" name="Grafik 3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8619B" w14:textId="0F632FFA" w:rsidR="00AB4F73" w:rsidRDefault="00CF0213" w:rsidP="00AB4F73">
    <w:pPr>
      <w:pStyle w:val="Titel"/>
      <w:ind w:left="0"/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0" allowOverlap="1" wp14:anchorId="172C77A9" wp14:editId="4005F682">
          <wp:simplePos x="0" y="0"/>
          <wp:positionH relativeFrom="margin">
            <wp:posOffset>0</wp:posOffset>
          </wp:positionH>
          <wp:positionV relativeFrom="paragraph">
            <wp:posOffset>-101600</wp:posOffset>
          </wp:positionV>
          <wp:extent cx="2343150" cy="409575"/>
          <wp:effectExtent l="0" t="0" r="0" b="0"/>
          <wp:wrapNone/>
          <wp:docPr id="2" name="Grafik 2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8AD97D" w14:textId="182360D3" w:rsidR="00CF0213" w:rsidRDefault="00CF0213" w:rsidP="00CF0213"/>
  <w:p w14:paraId="20462E62" w14:textId="3F6E3420" w:rsidR="00CF0213" w:rsidRDefault="00CF0213" w:rsidP="00CF0213"/>
  <w:p w14:paraId="01D29741" w14:textId="77777777" w:rsidR="00CF0213" w:rsidRPr="00CF0213" w:rsidRDefault="00CF0213" w:rsidP="00CF0213"/>
  <w:p w14:paraId="16551DAD" w14:textId="42DA10E5" w:rsidR="00AB4F73" w:rsidRDefault="00AB4F73" w:rsidP="00AB4F73">
    <w:pPr>
      <w:pStyle w:val="Titel"/>
      <w:ind w:left="0"/>
      <w:rPr>
        <w:sz w:val="20"/>
        <w:szCs w:val="20"/>
      </w:rPr>
    </w:pPr>
  </w:p>
  <w:p w14:paraId="361E26D3" w14:textId="31705BED" w:rsidR="00AB4F73" w:rsidRPr="00F17213" w:rsidRDefault="00AB4F73" w:rsidP="00AB4F73">
    <w:pPr>
      <w:pStyle w:val="Titel"/>
      <w:ind w:left="0"/>
      <w:rPr>
        <w:rFonts w:ascii="Arial" w:hAnsi="Arial" w:cs="Arial"/>
        <w:b w:val="0"/>
        <w:sz w:val="18"/>
        <w:szCs w:val="18"/>
      </w:rPr>
    </w:pPr>
    <w:r w:rsidRPr="00F17213">
      <w:rPr>
        <w:rFonts w:ascii="Arial" w:hAnsi="Arial" w:cs="Arial"/>
        <w:b w:val="0"/>
        <w:sz w:val="18"/>
        <w:szCs w:val="18"/>
      </w:rPr>
      <w:t>Unverbindliche Bekanntgabe des Gesamtverbandes der Deutschen Versicherungswirtschaft e.V. (GDV)</w:t>
    </w:r>
    <w:r w:rsidR="00F17213" w:rsidRPr="00F17213">
      <w:rPr>
        <w:rFonts w:ascii="Arial" w:hAnsi="Arial" w:cs="Arial"/>
        <w:b w:val="0"/>
        <w:sz w:val="18"/>
        <w:szCs w:val="18"/>
      </w:rPr>
      <w:br/>
    </w:r>
    <w:r w:rsidRPr="00F17213">
      <w:rPr>
        <w:rFonts w:ascii="Arial" w:hAnsi="Arial" w:cs="Arial"/>
        <w:b w:val="0"/>
        <w:sz w:val="18"/>
        <w:szCs w:val="18"/>
      </w:rPr>
      <w:t>zur fakultativen Verwendung. Abweichende Vereinbarungen sind möglich.</w:t>
    </w:r>
  </w:p>
  <w:p w14:paraId="3DC4460B" w14:textId="77777777" w:rsidR="00AB4F73" w:rsidRPr="00B63015" w:rsidRDefault="00AB4F73" w:rsidP="00AB4F73">
    <w:pPr>
      <w:ind w:left="0"/>
    </w:pPr>
    <w:r>
      <w:t>___________________________________________________________________________________________</w:t>
    </w:r>
  </w:p>
  <w:p w14:paraId="366E73E8" w14:textId="77777777" w:rsidR="00AB4F73" w:rsidRDefault="00AB4F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50C2"/>
    <w:multiLevelType w:val="hybridMultilevel"/>
    <w:tmpl w:val="BFA0E46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F16A4D"/>
    <w:multiLevelType w:val="hybridMultilevel"/>
    <w:tmpl w:val="C22ED66A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EFD7B0E"/>
    <w:multiLevelType w:val="multilevel"/>
    <w:tmpl w:val="8D36ECBC"/>
    <w:lvl w:ilvl="0">
      <w:start w:val="1"/>
      <w:numFmt w:val="decimal"/>
      <w:pStyle w:val="berschrift1"/>
      <w:lvlText w:val="Ziff. %1"/>
      <w:lvlJc w:val="left"/>
      <w:pPr>
        <w:ind w:left="1428" w:hanging="360"/>
      </w:pPr>
      <w:rPr>
        <w:rFonts w:hint="default"/>
        <w:b/>
      </w:rPr>
    </w:lvl>
    <w:lvl w:ilvl="1">
      <w:start w:val="1"/>
      <w:numFmt w:val="decimal"/>
      <w:pStyle w:val="berschrift2"/>
      <w:lvlText w:val="Ziff. %1.%2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" w15:restartNumberingAfterBreak="0">
    <w:nsid w:val="29014EED"/>
    <w:multiLevelType w:val="hybridMultilevel"/>
    <w:tmpl w:val="5606BB7A"/>
    <w:lvl w:ilvl="0" w:tplc="2B4EDB16">
      <w:start w:val="5"/>
      <w:numFmt w:val="bullet"/>
      <w:lvlText w:val="-"/>
      <w:lvlJc w:val="left"/>
      <w:pPr>
        <w:ind w:left="1211" w:hanging="360"/>
      </w:pPr>
      <w:rPr>
        <w:rFonts w:ascii="GDVtype" w:eastAsia="Times New Roman" w:hAnsi="GDV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D5C52BC"/>
    <w:multiLevelType w:val="hybridMultilevel"/>
    <w:tmpl w:val="9904933E"/>
    <w:lvl w:ilvl="0" w:tplc="1C96178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C413AAE"/>
    <w:multiLevelType w:val="hybridMultilevel"/>
    <w:tmpl w:val="E9D08F9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00C0455"/>
    <w:multiLevelType w:val="hybridMultilevel"/>
    <w:tmpl w:val="9F1EDDC4"/>
    <w:lvl w:ilvl="0" w:tplc="1C96178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24BBA"/>
    <w:multiLevelType w:val="hybridMultilevel"/>
    <w:tmpl w:val="D3B8D4D6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13C7727"/>
    <w:multiLevelType w:val="hybridMultilevel"/>
    <w:tmpl w:val="4208AAEC"/>
    <w:lvl w:ilvl="0" w:tplc="E398D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85243"/>
    <w:multiLevelType w:val="hybridMultilevel"/>
    <w:tmpl w:val="28BC0020"/>
    <w:lvl w:ilvl="0" w:tplc="2B4EDB16">
      <w:start w:val="5"/>
      <w:numFmt w:val="bullet"/>
      <w:lvlText w:val="-"/>
      <w:lvlJc w:val="left"/>
      <w:pPr>
        <w:ind w:left="1211" w:hanging="360"/>
      </w:pPr>
      <w:rPr>
        <w:rFonts w:ascii="GDVtype" w:eastAsia="Times New Roman" w:hAnsi="GDV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F7466"/>
    <w:multiLevelType w:val="multilevel"/>
    <w:tmpl w:val="8D36ECBC"/>
    <w:lvl w:ilvl="0">
      <w:start w:val="1"/>
      <w:numFmt w:val="decimal"/>
      <w:lvlText w:val="Ziff. %1"/>
      <w:lvlJc w:val="left"/>
      <w:pPr>
        <w:ind w:left="1428" w:hanging="360"/>
      </w:pPr>
      <w:rPr>
        <w:rFonts w:hint="default"/>
        <w:b/>
      </w:rPr>
    </w:lvl>
    <w:lvl w:ilvl="1">
      <w:start w:val="1"/>
      <w:numFmt w:val="decimal"/>
      <w:lvlText w:val="Ziff. %1.%2"/>
      <w:lvlJc w:val="left"/>
      <w:pPr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11" w15:restartNumberingAfterBreak="0">
    <w:nsid w:val="7B7F1B5D"/>
    <w:multiLevelType w:val="hybridMultilevel"/>
    <w:tmpl w:val="E6FCE88E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7CE64492"/>
    <w:multiLevelType w:val="hybridMultilevel"/>
    <w:tmpl w:val="D536243E"/>
    <w:lvl w:ilvl="0" w:tplc="2B4EDB16">
      <w:start w:val="5"/>
      <w:numFmt w:val="bullet"/>
      <w:lvlText w:val="-"/>
      <w:lvlJc w:val="left"/>
      <w:pPr>
        <w:ind w:left="1211" w:hanging="360"/>
      </w:pPr>
      <w:rPr>
        <w:rFonts w:ascii="GDVtype" w:eastAsia="Times New Roman" w:hAnsi="GDVtype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3A"/>
    <w:rsid w:val="00001366"/>
    <w:rsid w:val="00030CB8"/>
    <w:rsid w:val="0007429E"/>
    <w:rsid w:val="000772FE"/>
    <w:rsid w:val="000B1AC7"/>
    <w:rsid w:val="000C3851"/>
    <w:rsid w:val="000D1CC8"/>
    <w:rsid w:val="000D4E97"/>
    <w:rsid w:val="000D63A3"/>
    <w:rsid w:val="000F39D2"/>
    <w:rsid w:val="0010003B"/>
    <w:rsid w:val="0013213E"/>
    <w:rsid w:val="00156BDB"/>
    <w:rsid w:val="0018571D"/>
    <w:rsid w:val="00196552"/>
    <w:rsid w:val="001A5DAD"/>
    <w:rsid w:val="001B61D8"/>
    <w:rsid w:val="001D49B0"/>
    <w:rsid w:val="00210C58"/>
    <w:rsid w:val="0022283A"/>
    <w:rsid w:val="0024639A"/>
    <w:rsid w:val="002703C9"/>
    <w:rsid w:val="00291957"/>
    <w:rsid w:val="002A5D5E"/>
    <w:rsid w:val="002C7675"/>
    <w:rsid w:val="002D7EF1"/>
    <w:rsid w:val="002E1F17"/>
    <w:rsid w:val="002F6F0C"/>
    <w:rsid w:val="003073B9"/>
    <w:rsid w:val="00314059"/>
    <w:rsid w:val="00374FDF"/>
    <w:rsid w:val="00391ECB"/>
    <w:rsid w:val="003A0D5D"/>
    <w:rsid w:val="003B1EDE"/>
    <w:rsid w:val="003D6DD5"/>
    <w:rsid w:val="003F3AC3"/>
    <w:rsid w:val="003F4FA3"/>
    <w:rsid w:val="00402169"/>
    <w:rsid w:val="00402725"/>
    <w:rsid w:val="00446B95"/>
    <w:rsid w:val="0045604E"/>
    <w:rsid w:val="00495862"/>
    <w:rsid w:val="004D669D"/>
    <w:rsid w:val="00526C29"/>
    <w:rsid w:val="00537AE8"/>
    <w:rsid w:val="00544E8D"/>
    <w:rsid w:val="0055640D"/>
    <w:rsid w:val="00556F0B"/>
    <w:rsid w:val="00571BF3"/>
    <w:rsid w:val="00583B61"/>
    <w:rsid w:val="00584930"/>
    <w:rsid w:val="005A1CE7"/>
    <w:rsid w:val="005B35A0"/>
    <w:rsid w:val="005B7D59"/>
    <w:rsid w:val="005C5143"/>
    <w:rsid w:val="005F05C5"/>
    <w:rsid w:val="00603CC0"/>
    <w:rsid w:val="006471DC"/>
    <w:rsid w:val="00676A63"/>
    <w:rsid w:val="006C415B"/>
    <w:rsid w:val="00724CCA"/>
    <w:rsid w:val="00736635"/>
    <w:rsid w:val="00742311"/>
    <w:rsid w:val="007568AA"/>
    <w:rsid w:val="00775C99"/>
    <w:rsid w:val="00776FA9"/>
    <w:rsid w:val="00796285"/>
    <w:rsid w:val="007C0B57"/>
    <w:rsid w:val="007C2158"/>
    <w:rsid w:val="0081178D"/>
    <w:rsid w:val="0082346D"/>
    <w:rsid w:val="00842A0E"/>
    <w:rsid w:val="00851346"/>
    <w:rsid w:val="00877CB3"/>
    <w:rsid w:val="008A2838"/>
    <w:rsid w:val="008A4AD5"/>
    <w:rsid w:val="008C66DC"/>
    <w:rsid w:val="008D2D1A"/>
    <w:rsid w:val="008E3E8D"/>
    <w:rsid w:val="00910DA9"/>
    <w:rsid w:val="00921A81"/>
    <w:rsid w:val="00930939"/>
    <w:rsid w:val="00931BA6"/>
    <w:rsid w:val="009554CE"/>
    <w:rsid w:val="009621DD"/>
    <w:rsid w:val="00963C17"/>
    <w:rsid w:val="00964547"/>
    <w:rsid w:val="00984FB7"/>
    <w:rsid w:val="009921CC"/>
    <w:rsid w:val="009D2848"/>
    <w:rsid w:val="009E65FF"/>
    <w:rsid w:val="009F186E"/>
    <w:rsid w:val="00A003F7"/>
    <w:rsid w:val="00A03756"/>
    <w:rsid w:val="00A215A8"/>
    <w:rsid w:val="00A36D43"/>
    <w:rsid w:val="00A46427"/>
    <w:rsid w:val="00A46FCA"/>
    <w:rsid w:val="00A74CF4"/>
    <w:rsid w:val="00AB4F73"/>
    <w:rsid w:val="00B42BCC"/>
    <w:rsid w:val="00B63015"/>
    <w:rsid w:val="00B731D9"/>
    <w:rsid w:val="00BB32AC"/>
    <w:rsid w:val="00BD30DD"/>
    <w:rsid w:val="00BD485D"/>
    <w:rsid w:val="00C00A32"/>
    <w:rsid w:val="00C17DC9"/>
    <w:rsid w:val="00C41B8F"/>
    <w:rsid w:val="00C46968"/>
    <w:rsid w:val="00C512C8"/>
    <w:rsid w:val="00C93775"/>
    <w:rsid w:val="00C9640B"/>
    <w:rsid w:val="00CA1B2E"/>
    <w:rsid w:val="00CE485C"/>
    <w:rsid w:val="00CE6C0B"/>
    <w:rsid w:val="00CF0213"/>
    <w:rsid w:val="00D05461"/>
    <w:rsid w:val="00D317A9"/>
    <w:rsid w:val="00D42809"/>
    <w:rsid w:val="00D51B0C"/>
    <w:rsid w:val="00D63AD8"/>
    <w:rsid w:val="00D81211"/>
    <w:rsid w:val="00DD6DEA"/>
    <w:rsid w:val="00DE60B1"/>
    <w:rsid w:val="00E32752"/>
    <w:rsid w:val="00E3664F"/>
    <w:rsid w:val="00E4208A"/>
    <w:rsid w:val="00E7706E"/>
    <w:rsid w:val="00EC3248"/>
    <w:rsid w:val="00EC7FD9"/>
    <w:rsid w:val="00EF1AF8"/>
    <w:rsid w:val="00EF515A"/>
    <w:rsid w:val="00F06188"/>
    <w:rsid w:val="00F07B9F"/>
    <w:rsid w:val="00F17213"/>
    <w:rsid w:val="00F33532"/>
    <w:rsid w:val="00F3679B"/>
    <w:rsid w:val="00F504F1"/>
    <w:rsid w:val="00F85E6E"/>
    <w:rsid w:val="00F95AA6"/>
    <w:rsid w:val="00FA2C4D"/>
    <w:rsid w:val="00FC483C"/>
    <w:rsid w:val="00FC60A2"/>
    <w:rsid w:val="00FE2CCC"/>
    <w:rsid w:val="00FF012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C5FB88"/>
  <w15:docId w15:val="{62BE455A-9264-4474-A805-BAAAF89C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71DC"/>
    <w:pPr>
      <w:spacing w:after="0" w:line="240" w:lineRule="auto"/>
      <w:ind w:left="851"/>
    </w:pPr>
    <w:rPr>
      <w:rFonts w:ascii="Calibri" w:hAnsi="Calibri" w:cs="Calibri"/>
      <w:iCs/>
      <w:sz w:val="20"/>
      <w:szCs w:val="20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1B61D8"/>
    <w:pPr>
      <w:numPr>
        <w:numId w:val="3"/>
      </w:numPr>
      <w:tabs>
        <w:tab w:val="left" w:pos="851"/>
      </w:tabs>
      <w:spacing w:before="120"/>
      <w:ind w:left="851" w:hanging="851"/>
      <w:outlineLvl w:val="0"/>
    </w:pPr>
    <w:rPr>
      <w:b/>
      <w:iCs w:val="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1B61D8"/>
    <w:pPr>
      <w:numPr>
        <w:ilvl w:val="1"/>
      </w:numPr>
      <w:ind w:left="851" w:hanging="851"/>
      <w:outlineLvl w:val="1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283A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1965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6552"/>
    <w:rPr>
      <w:rFonts w:ascii="Calibri" w:hAnsi="Calibri" w:cs="Calibri"/>
    </w:rPr>
  </w:style>
  <w:style w:type="paragraph" w:styleId="Fuzeile">
    <w:name w:val="footer"/>
    <w:basedOn w:val="Standard"/>
    <w:link w:val="FuzeileZchn"/>
    <w:unhideWhenUsed/>
    <w:rsid w:val="001965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96552"/>
    <w:rPr>
      <w:rFonts w:ascii="Calibri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C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CC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61D8"/>
    <w:rPr>
      <w:rFonts w:ascii="Calibri" w:hAnsi="Calibri" w:cs="Calibri"/>
      <w:b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471DC"/>
    <w:pPr>
      <w:jc w:val="center"/>
    </w:pPr>
    <w:rPr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471DC"/>
    <w:rPr>
      <w:rFonts w:ascii="Calibri" w:hAnsi="Calibri" w:cs="Calibri"/>
      <w:b/>
      <w:iCs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61D8"/>
    <w:rPr>
      <w:rFonts w:ascii="Calibri" w:hAnsi="Calibri" w:cs="Calibr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772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772F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772FE"/>
    <w:rPr>
      <w:rFonts w:ascii="Calibri" w:hAnsi="Calibri" w:cs="Calibri"/>
      <w:i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72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72FE"/>
    <w:rPr>
      <w:rFonts w:ascii="Calibri" w:hAnsi="Calibri" w:cs="Calibri"/>
      <w:b/>
      <w:bCs/>
      <w:iCs/>
      <w:sz w:val="20"/>
      <w:szCs w:val="20"/>
    </w:rPr>
  </w:style>
  <w:style w:type="character" w:styleId="Funotenzeichen">
    <w:name w:val="footnote reference"/>
    <w:semiHidden/>
    <w:rsid w:val="009554C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953dc1c6-e99e-4937-98b2-eea1a3d9dc5b</BSO999929>
</file>

<file path=customXml/itemProps1.xml><?xml version="1.0" encoding="utf-8"?>
<ds:datastoreItem xmlns:ds="http://schemas.openxmlformats.org/officeDocument/2006/customXml" ds:itemID="{7596F2C8-14EA-4511-B03C-99D33E2EE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3D116-9E53-4815-80A7-D103B44D52BE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GDV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</dc:creator>
  <cp:lastModifiedBy>Kupfer, Björn</cp:lastModifiedBy>
  <cp:revision>7</cp:revision>
  <cp:lastPrinted>2022-07-06T07:28:00Z</cp:lastPrinted>
  <dcterms:created xsi:type="dcterms:W3CDTF">2021-01-08T13:34:00Z</dcterms:created>
  <dcterms:modified xsi:type="dcterms:W3CDTF">2022-08-01T14:44:00Z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040440-2020/001:04</vt:lpwstr>
  </property>
  <property fmtid="{D5CDD505-2E9C-101B-9397-08002B2CF9AE}" pid="3" name="DATEV-DMS_MANDANT_BEZ">
    <vt:lpwstr>GDV - Gesamtverband der Deutschen Versicherungswirtschaft e.V.</vt:lpwstr>
  </property>
  <property fmtid="{D5CDD505-2E9C-101B-9397-08002B2CF9AE}" pid="4" name="DATEV-DMS_DOKU_NR">
    <vt:lpwstr>3700719</vt:lpwstr>
  </property>
  <property fmtid="{D5CDD505-2E9C-101B-9397-08002B2CF9AE}" pid="5" name="DATEV-DMS_BETREFF">
    <vt:lpwstr>Entwurf_Cyberausschluss_201002_marked_up_DSC 05.10.20</vt:lpwstr>
  </property>
</Properties>
</file>